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85B" w:rsidRDefault="0088685B" w:rsidP="0088685B">
      <w:pPr>
        <w:jc w:val="center"/>
        <w:rPr>
          <w:b/>
          <w:sz w:val="32"/>
          <w:szCs w:val="32"/>
        </w:rPr>
      </w:pPr>
      <w:r w:rsidRPr="00BB27F8">
        <w:rPr>
          <w:b/>
          <w:sz w:val="32"/>
          <w:szCs w:val="32"/>
        </w:rPr>
        <w:t xml:space="preserve">Kit </w:t>
      </w:r>
      <w:r>
        <w:rPr>
          <w:b/>
          <w:sz w:val="32"/>
          <w:szCs w:val="32"/>
        </w:rPr>
        <w:t>d’</w:t>
      </w:r>
      <w:r w:rsidRPr="00BB27F8">
        <w:rPr>
          <w:b/>
          <w:sz w:val="32"/>
          <w:szCs w:val="32"/>
        </w:rPr>
        <w:t>action campagne « </w:t>
      </w:r>
      <w:r>
        <w:rPr>
          <w:b/>
          <w:sz w:val="32"/>
          <w:szCs w:val="32"/>
        </w:rPr>
        <w:t>L’économie du donut</w:t>
      </w:r>
      <w:r w:rsidRPr="00BB27F8">
        <w:rPr>
          <w:b/>
          <w:sz w:val="32"/>
          <w:szCs w:val="32"/>
        </w:rPr>
        <w:t> »</w:t>
      </w:r>
    </w:p>
    <w:p w:rsidR="0088685B" w:rsidRPr="000F4D82" w:rsidRDefault="0088685B" w:rsidP="0088685B">
      <w:pPr>
        <w:rPr>
          <w:b/>
          <w:sz w:val="28"/>
          <w:szCs w:val="28"/>
        </w:rPr>
      </w:pPr>
      <w:r w:rsidRPr="000F4D82">
        <w:rPr>
          <w:b/>
          <w:sz w:val="28"/>
          <w:szCs w:val="28"/>
        </w:rPr>
        <w:t>La campagne en quelques mots</w:t>
      </w:r>
    </w:p>
    <w:p w:rsidR="0088685B" w:rsidRPr="00505AA6" w:rsidRDefault="0088685B" w:rsidP="0088685B">
      <w:pPr>
        <w:autoSpaceDE w:val="0"/>
        <w:autoSpaceDN w:val="0"/>
        <w:adjustRightInd w:val="0"/>
        <w:spacing w:after="0" w:line="240" w:lineRule="auto"/>
      </w:pPr>
      <w:r w:rsidRPr="00505AA6">
        <w:rPr>
          <w:noProof/>
          <w:lang w:eastAsia="fr-BE"/>
        </w:rPr>
        <w:drawing>
          <wp:anchor distT="0" distB="0" distL="114300" distR="114300" simplePos="0" relativeHeight="251659264" behindDoc="0" locked="0" layoutInCell="1" allowOverlap="1" wp14:anchorId="224BAEF3" wp14:editId="4C8369C8">
            <wp:simplePos x="0" y="0"/>
            <wp:positionH relativeFrom="column">
              <wp:posOffset>-61595</wp:posOffset>
            </wp:positionH>
            <wp:positionV relativeFrom="paragraph">
              <wp:posOffset>43180</wp:posOffset>
            </wp:positionV>
            <wp:extent cx="2113280" cy="2965450"/>
            <wp:effectExtent l="0" t="0" r="127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13280" cy="2965450"/>
                    </a:xfrm>
                    <a:prstGeom prst="rect">
                      <a:avLst/>
                    </a:prstGeom>
                  </pic:spPr>
                </pic:pic>
              </a:graphicData>
            </a:graphic>
            <wp14:sizeRelH relativeFrom="margin">
              <wp14:pctWidth>0</wp14:pctWidth>
            </wp14:sizeRelH>
            <wp14:sizeRelV relativeFrom="margin">
              <wp14:pctHeight>0</wp14:pctHeight>
            </wp14:sizeRelV>
          </wp:anchor>
        </w:drawing>
      </w:r>
      <w:r w:rsidRPr="00505AA6">
        <w:t>Bien avant la crise du Covid-19, nous avions choisi le « donut » comme symbole de notre nouvelle campagne pour une transition écologique et sociale vers un « espace sûr et juste pour l’humanité ».</w:t>
      </w:r>
      <w:r>
        <w:t xml:space="preserve"> </w:t>
      </w:r>
      <w:r w:rsidRPr="00505AA6">
        <w:t xml:space="preserve">Depuis, nous voyons de plus en plus de personnalités faire référence à cette économie du Donut </w:t>
      </w:r>
      <w:r>
        <w:t>comme un cadre de réflexion pour le « monde d’après »</w:t>
      </w:r>
      <w:r w:rsidRPr="00505AA6">
        <w:t xml:space="preserve">. </w:t>
      </w:r>
    </w:p>
    <w:p w:rsidR="0088685B" w:rsidRPr="00505AA6" w:rsidRDefault="0088685B" w:rsidP="0088685B">
      <w:pPr>
        <w:autoSpaceDE w:val="0"/>
        <w:autoSpaceDN w:val="0"/>
        <w:adjustRightInd w:val="0"/>
        <w:spacing w:after="0" w:line="240" w:lineRule="auto"/>
      </w:pPr>
    </w:p>
    <w:p w:rsidR="0088685B" w:rsidRPr="00505AA6" w:rsidRDefault="0088685B" w:rsidP="0088685B">
      <w:pPr>
        <w:autoSpaceDE w:val="0"/>
        <w:autoSpaceDN w:val="0"/>
        <w:adjustRightInd w:val="0"/>
        <w:spacing w:after="0" w:line="240" w:lineRule="auto"/>
      </w:pPr>
      <w:r w:rsidRPr="00505AA6">
        <w:t>Le modèle économique du donut peut</w:t>
      </w:r>
      <w:r>
        <w:t xml:space="preserve"> en effet</w:t>
      </w:r>
      <w:r w:rsidRPr="00505AA6">
        <w:t xml:space="preserve"> nous guider dans la construction d’un monde plus juste et plus résilient</w:t>
      </w:r>
      <w:r>
        <w:t xml:space="preserve">, aussi et surtout pour les </w:t>
      </w:r>
      <w:r w:rsidRPr="008F2FE5">
        <w:t>populations et pays les plus marginalisés</w:t>
      </w:r>
      <w:r w:rsidRPr="00505AA6">
        <w:t xml:space="preserve">. </w:t>
      </w:r>
      <w:r>
        <w:t>E</w:t>
      </w:r>
      <w:r w:rsidRPr="00505AA6">
        <w:t>n tant que bénévoles et militant</w:t>
      </w:r>
      <w:r>
        <w:t>·e·</w:t>
      </w:r>
      <w:r w:rsidRPr="00505AA6">
        <w:t xml:space="preserve">s d’Oxfam-Magasins du monde, vous pouvez nous aider à faire passer ce message et à montrer comment le commerce équitable s’inscrit </w:t>
      </w:r>
      <w:r w:rsidRPr="008F2FE5">
        <w:t xml:space="preserve">dans ce combat </w:t>
      </w:r>
      <w:r>
        <w:t xml:space="preserve">global </w:t>
      </w:r>
      <w:r w:rsidRPr="008F2FE5">
        <w:t>pour la justice sociale et environnemental</w:t>
      </w:r>
      <w:r>
        <w:t>e</w:t>
      </w:r>
      <w:r w:rsidRPr="00505AA6">
        <w:t>.</w:t>
      </w:r>
    </w:p>
    <w:p w:rsidR="0088685B" w:rsidRPr="00505AA6" w:rsidRDefault="0088685B" w:rsidP="0088685B">
      <w:pPr>
        <w:autoSpaceDE w:val="0"/>
        <w:autoSpaceDN w:val="0"/>
        <w:adjustRightInd w:val="0"/>
        <w:spacing w:after="0" w:line="240" w:lineRule="auto"/>
        <w:rPr>
          <w:b/>
        </w:rPr>
      </w:pPr>
    </w:p>
    <w:p w:rsidR="0088685B" w:rsidRPr="00505AA6" w:rsidRDefault="0088685B" w:rsidP="0088685B">
      <w:pPr>
        <w:autoSpaceDE w:val="0"/>
        <w:autoSpaceDN w:val="0"/>
        <w:adjustRightInd w:val="0"/>
        <w:spacing w:after="0" w:line="240" w:lineRule="auto"/>
        <w:rPr>
          <w:b/>
        </w:rPr>
      </w:pPr>
      <w:r w:rsidRPr="00505AA6">
        <w:rPr>
          <w:b/>
        </w:rPr>
        <w:t>Mais c’est quoi, cette économie du donut ?</w:t>
      </w:r>
    </w:p>
    <w:p w:rsidR="0088685B" w:rsidRPr="004D2F4D" w:rsidRDefault="0088685B" w:rsidP="0088685B">
      <w:pPr>
        <w:autoSpaceDE w:val="0"/>
        <w:autoSpaceDN w:val="0"/>
        <w:adjustRightInd w:val="0"/>
        <w:spacing w:after="0" w:line="240" w:lineRule="auto"/>
        <w:rPr>
          <w:rFonts w:ascii="TisaPro-Ita" w:hAnsi="TisaPro-Ita" w:cs="TisaPro-Ita"/>
          <w:b/>
          <w:i/>
          <w:iCs/>
          <w:color w:val="000000"/>
        </w:rPr>
      </w:pPr>
    </w:p>
    <w:p w:rsidR="0088685B" w:rsidRDefault="0088685B" w:rsidP="0088685B">
      <w:pPr>
        <w:autoSpaceDE w:val="0"/>
        <w:autoSpaceDN w:val="0"/>
        <w:adjustRightInd w:val="0"/>
        <w:spacing w:after="0" w:line="240" w:lineRule="auto"/>
      </w:pPr>
      <w:r w:rsidRPr="00505AA6">
        <w:t>Développé en 2012 par la chercheuse britannique Kate Raworth, le concept de donut définit les balises sociales et environnementales au sein desquelles toute activité humaine devrait s’inscrire. L’anneau intérieur (ou « plancher social ») délimite les éléments essentiels pour une vie digne (alimentation, santé, éducation,</w:t>
      </w:r>
      <w:r>
        <w:t xml:space="preserve"> libertés,</w:t>
      </w:r>
      <w:r w:rsidRPr="00505AA6">
        <w:t xml:space="preserve"> etc.), tandis que l’anneau extérieur (ou « plafond environnemental ») correspond à la pression maximale que l’humanité peut exercer sur les systèmes vitaux de la Terre (écosystèmes, climat, etc.) sans mettre sa survie en péril. </w:t>
      </w:r>
    </w:p>
    <w:p w:rsidR="0088685B" w:rsidRDefault="0088685B" w:rsidP="0088685B">
      <w:pPr>
        <w:autoSpaceDE w:val="0"/>
        <w:autoSpaceDN w:val="0"/>
        <w:adjustRightInd w:val="0"/>
        <w:spacing w:after="0" w:line="240" w:lineRule="auto"/>
      </w:pPr>
    </w:p>
    <w:p w:rsidR="0088685B" w:rsidRPr="00505AA6" w:rsidRDefault="0088685B" w:rsidP="0088685B">
      <w:pPr>
        <w:autoSpaceDE w:val="0"/>
        <w:autoSpaceDN w:val="0"/>
        <w:adjustRightInd w:val="0"/>
        <w:spacing w:after="0" w:line="240" w:lineRule="auto"/>
        <w:rPr>
          <w:b/>
        </w:rPr>
      </w:pPr>
      <w:r w:rsidRPr="00505AA6">
        <w:rPr>
          <w:b/>
        </w:rPr>
        <w:t>Rassurez-vous, c’est beaucoup plus simple que cela n’y paraît !</w:t>
      </w:r>
    </w:p>
    <w:p w:rsidR="0088685B" w:rsidRDefault="0088685B" w:rsidP="0088685B">
      <w:pPr>
        <w:autoSpaceDE w:val="0"/>
        <w:autoSpaceDN w:val="0"/>
        <w:adjustRightInd w:val="0"/>
        <w:spacing w:after="0" w:line="240" w:lineRule="auto"/>
        <w:rPr>
          <w:rFonts w:ascii="OxfamTSTARPRO-Regular" w:hAnsi="OxfamTSTARPRO-Regular" w:cs="OxfamTSTARPRO-Regular"/>
          <w:color w:val="000000"/>
          <w:sz w:val="19"/>
          <w:szCs w:val="19"/>
        </w:rPr>
      </w:pPr>
    </w:p>
    <w:p w:rsidR="0088685B" w:rsidRDefault="0088685B" w:rsidP="0088685B">
      <w:pPr>
        <w:autoSpaceDE w:val="0"/>
        <w:autoSpaceDN w:val="0"/>
        <w:adjustRightInd w:val="0"/>
        <w:spacing w:after="0" w:line="240" w:lineRule="auto"/>
      </w:pPr>
      <w:r w:rsidRPr="00505AA6">
        <w:rPr>
          <w:b/>
        </w:rPr>
        <w:t>Pour en savoir plus</w:t>
      </w:r>
      <w:r>
        <w:rPr>
          <w:b/>
        </w:rPr>
        <w:t> :</w:t>
      </w:r>
    </w:p>
    <w:p w:rsidR="0088685B" w:rsidRDefault="0088685B" w:rsidP="0088685B">
      <w:pPr>
        <w:autoSpaceDE w:val="0"/>
        <w:autoSpaceDN w:val="0"/>
        <w:adjustRightInd w:val="0"/>
        <w:spacing w:after="0" w:line="240" w:lineRule="auto"/>
      </w:pPr>
    </w:p>
    <w:p w:rsidR="0088685B" w:rsidRDefault="0088685B" w:rsidP="0088685B">
      <w:pPr>
        <w:pStyle w:val="Paragraphedeliste"/>
        <w:numPr>
          <w:ilvl w:val="0"/>
          <w:numId w:val="2"/>
        </w:numPr>
        <w:autoSpaceDE w:val="0"/>
        <w:autoSpaceDN w:val="0"/>
        <w:adjustRightInd w:val="0"/>
        <w:spacing w:after="0" w:line="240" w:lineRule="auto"/>
      </w:pPr>
      <w:r>
        <w:t>P</w:t>
      </w:r>
      <w:r w:rsidRPr="00505AA6">
        <w:t xml:space="preserve">longez dans notre dépliant et notre dossier de campagne </w:t>
      </w:r>
    </w:p>
    <w:p w:rsidR="0088685B" w:rsidRDefault="0088685B" w:rsidP="0088685B">
      <w:pPr>
        <w:pStyle w:val="Paragraphedeliste"/>
        <w:numPr>
          <w:ilvl w:val="0"/>
          <w:numId w:val="2"/>
        </w:numPr>
        <w:autoSpaceDE w:val="0"/>
        <w:autoSpaceDN w:val="0"/>
        <w:adjustRightInd w:val="0"/>
        <w:spacing w:after="0" w:line="240" w:lineRule="auto"/>
      </w:pPr>
      <w:r>
        <w:t>R</w:t>
      </w:r>
      <w:r w:rsidRPr="00505AA6">
        <w:t>egardez les différentes</w:t>
      </w:r>
      <w:r>
        <w:t xml:space="preserve"> vidéos publiées sur notre site : </w:t>
      </w:r>
      <w:hyperlink r:id="rId7" w:history="1">
        <w:r w:rsidRPr="009423AD">
          <w:rPr>
            <w:rStyle w:val="Lienhypertexte"/>
          </w:rPr>
          <w:t>www.omdm.be/donut</w:t>
        </w:r>
      </w:hyperlink>
    </w:p>
    <w:p w:rsidR="0088685B" w:rsidRPr="00505AA6" w:rsidRDefault="0088685B" w:rsidP="0088685B">
      <w:pPr>
        <w:autoSpaceDE w:val="0"/>
        <w:autoSpaceDN w:val="0"/>
        <w:adjustRightInd w:val="0"/>
        <w:spacing w:after="0" w:line="240" w:lineRule="auto"/>
      </w:pPr>
    </w:p>
    <w:p w:rsidR="0088685B" w:rsidRPr="00505AA6" w:rsidRDefault="0088685B" w:rsidP="0088685B">
      <w:pPr>
        <w:autoSpaceDE w:val="0"/>
        <w:autoSpaceDN w:val="0"/>
        <w:adjustRightInd w:val="0"/>
        <w:spacing w:after="0" w:line="240" w:lineRule="auto"/>
      </w:pPr>
      <w:r w:rsidRPr="00505AA6">
        <w:t xml:space="preserve">Nous espérons que, malgré </w:t>
      </w:r>
      <w:r>
        <w:t>l’impact du covid-19 sur nos activités</w:t>
      </w:r>
      <w:r w:rsidRPr="00505AA6">
        <w:t xml:space="preserve">, vous pourrez vous emparer du message principal de notre campagne : face aux crises actuelles et à avenir, le donut (ou l’économie du donut) </w:t>
      </w:r>
      <w:r>
        <w:t>doit</w:t>
      </w:r>
      <w:r w:rsidRPr="00505AA6">
        <w:t xml:space="preserve"> servir de </w:t>
      </w:r>
      <w:r>
        <w:t>modèle</w:t>
      </w:r>
      <w:r w:rsidRPr="00505AA6">
        <w:t xml:space="preserve"> </w:t>
      </w:r>
      <w:r>
        <w:t xml:space="preserve">global </w:t>
      </w:r>
      <w:r w:rsidRPr="00505AA6">
        <w:t xml:space="preserve">pour </w:t>
      </w:r>
      <w:r>
        <w:t>un</w:t>
      </w:r>
      <w:r w:rsidRPr="00505AA6">
        <w:t xml:space="preserve"> monde d’après</w:t>
      </w:r>
      <w:r>
        <w:t xml:space="preserve"> plus équitable et durable</w:t>
      </w:r>
      <w:r w:rsidRPr="00505AA6">
        <w:t>.</w:t>
      </w:r>
    </w:p>
    <w:p w:rsidR="0088685B" w:rsidRDefault="0088685B" w:rsidP="0088685B">
      <w:pPr>
        <w:autoSpaceDE w:val="0"/>
        <w:autoSpaceDN w:val="0"/>
        <w:adjustRightInd w:val="0"/>
        <w:spacing w:after="0" w:line="240" w:lineRule="auto"/>
        <w:rPr>
          <w:rFonts w:ascii="OxfamTSTARPRO-Regular" w:hAnsi="OxfamTSTARPRO-Regular" w:cs="OxfamTSTARPRO-Regular"/>
          <w:color w:val="000000"/>
          <w:sz w:val="19"/>
          <w:szCs w:val="19"/>
        </w:rPr>
      </w:pPr>
    </w:p>
    <w:p w:rsidR="0088685B" w:rsidRDefault="0088685B" w:rsidP="0088685B">
      <w:r>
        <w:t>Bonne campagne à toutes et tous!</w:t>
      </w:r>
    </w:p>
    <w:p w:rsidR="002E7E8B" w:rsidRDefault="002E7E8B" w:rsidP="0088685B"/>
    <w:p w:rsidR="002E7E8B" w:rsidRDefault="002E7E8B" w:rsidP="0088685B">
      <w:r>
        <w:t xml:space="preserve">Contacts : Roland d’Hoop Et Anabelle Delonnette </w:t>
      </w:r>
    </w:p>
    <w:bookmarkStart w:id="0" w:name="_GoBack"/>
    <w:bookmarkEnd w:id="0"/>
    <w:p w:rsidR="002E7E8B" w:rsidRDefault="00A13FFC" w:rsidP="0088685B">
      <w:r>
        <w:fldChar w:fldCharType="begin"/>
      </w:r>
      <w:r>
        <w:instrText xml:space="preserve"> HYPERLINK "mailto:</w:instrText>
      </w:r>
      <w:r w:rsidRPr="00A13FFC">
        <w:instrText>roland.dhoop@mdmoxfam.be</w:instrText>
      </w:r>
      <w:r>
        <w:instrText xml:space="preserve">" </w:instrText>
      </w:r>
      <w:r>
        <w:fldChar w:fldCharType="separate"/>
      </w:r>
      <w:r w:rsidRPr="00C43743">
        <w:rPr>
          <w:rStyle w:val="Lienhypertexte"/>
        </w:rPr>
        <w:t>roland.dhoop@mdmoxfam.be</w:t>
      </w:r>
      <w:r>
        <w:fldChar w:fldCharType="end"/>
      </w:r>
      <w:r w:rsidR="002E7E8B">
        <w:t xml:space="preserve"> et </w:t>
      </w:r>
      <w:hyperlink r:id="rId8" w:history="1">
        <w:r w:rsidR="002E7E8B" w:rsidRPr="00E60660">
          <w:rPr>
            <w:rStyle w:val="Lienhypertexte"/>
          </w:rPr>
          <w:t>anabelle.delonnette@mdmoxfam.be</w:t>
        </w:r>
      </w:hyperlink>
      <w:r w:rsidR="002E7E8B">
        <w:t xml:space="preserve"> </w:t>
      </w:r>
    </w:p>
    <w:p w:rsidR="0088685B" w:rsidRDefault="0088685B" w:rsidP="0088685B">
      <w:pPr>
        <w:rPr>
          <w:b/>
          <w:sz w:val="32"/>
          <w:szCs w:val="32"/>
        </w:rPr>
      </w:pPr>
      <w:r>
        <w:rPr>
          <w:b/>
          <w:sz w:val="32"/>
          <w:szCs w:val="32"/>
        </w:rPr>
        <w:br w:type="page"/>
      </w:r>
    </w:p>
    <w:p w:rsidR="0088685B" w:rsidRPr="00651652" w:rsidRDefault="0088685B" w:rsidP="0088685B">
      <w:pPr>
        <w:rPr>
          <w:b/>
          <w:sz w:val="32"/>
          <w:szCs w:val="32"/>
        </w:rPr>
      </w:pPr>
      <w:r>
        <w:rPr>
          <w:b/>
          <w:sz w:val="32"/>
          <w:szCs w:val="32"/>
        </w:rPr>
        <w:lastRenderedPageBreak/>
        <w:t>Principaux messages de campagne</w:t>
      </w:r>
    </w:p>
    <w:p w:rsidR="0088685B" w:rsidRPr="00651652" w:rsidRDefault="0088685B" w:rsidP="0088685B">
      <w:pPr>
        <w:numPr>
          <w:ilvl w:val="0"/>
          <w:numId w:val="4"/>
        </w:numPr>
        <w:tabs>
          <w:tab w:val="num" w:pos="720"/>
        </w:tabs>
      </w:pPr>
      <w:r w:rsidRPr="00651652">
        <w:rPr>
          <w:lang w:val="fr-FR"/>
        </w:rPr>
        <w:t xml:space="preserve">Crise après crise, nos sociétés font naufrage. Face à l’urgence, nous devons faire converger nos sociétés à l’intérieur des limites sociales et planétaires, symbolisées par l’image du donut. </w:t>
      </w:r>
    </w:p>
    <w:p w:rsidR="0088685B" w:rsidRPr="00651652" w:rsidRDefault="0088685B" w:rsidP="0088685B">
      <w:pPr>
        <w:numPr>
          <w:ilvl w:val="0"/>
          <w:numId w:val="4"/>
        </w:numPr>
        <w:tabs>
          <w:tab w:val="num" w:pos="720"/>
        </w:tabs>
      </w:pPr>
      <w:r w:rsidRPr="00651652">
        <w:rPr>
          <w:lang w:val="fr-FR"/>
        </w:rPr>
        <w:t>La transition vers cet « espace s</w:t>
      </w:r>
      <w:r>
        <w:rPr>
          <w:lang w:val="fr-FR"/>
        </w:rPr>
        <w:t>û</w:t>
      </w:r>
      <w:r w:rsidRPr="00651652">
        <w:rPr>
          <w:lang w:val="fr-FR"/>
        </w:rPr>
        <w:t>r et juste pour l’humanité » doit être écologique, mais aussi équitable, c’est-à-dire pour et par les populations et pays les plus marginalisés.</w:t>
      </w:r>
    </w:p>
    <w:p w:rsidR="0088685B" w:rsidRPr="00651652" w:rsidRDefault="0088685B" w:rsidP="0088685B">
      <w:pPr>
        <w:numPr>
          <w:ilvl w:val="0"/>
          <w:numId w:val="4"/>
        </w:numPr>
      </w:pPr>
      <w:r w:rsidRPr="00651652">
        <w:rPr>
          <w:lang w:val="fr-FR"/>
        </w:rPr>
        <w:t>Le commerce équitable a toute sa place dans ce combat pour un ‘monde d’après’ plus équitable et durable. Il donne les moyens aux plus vulnérables d’adopter des pratiques plus écologiques et résilientes, tout en proposant de plus en plus de produits biologiques et circulaires.</w:t>
      </w:r>
    </w:p>
    <w:p w:rsidR="0088685B" w:rsidRPr="00651652" w:rsidRDefault="0088685B" w:rsidP="0088685B">
      <w:pPr>
        <w:rPr>
          <w:b/>
          <w:sz w:val="32"/>
          <w:szCs w:val="32"/>
        </w:rPr>
      </w:pPr>
      <w:r w:rsidRPr="00651652">
        <w:rPr>
          <w:b/>
          <w:sz w:val="32"/>
          <w:szCs w:val="32"/>
        </w:rPr>
        <w:t xml:space="preserve">Principaux </w:t>
      </w:r>
      <w:r>
        <w:rPr>
          <w:b/>
          <w:sz w:val="32"/>
          <w:szCs w:val="32"/>
        </w:rPr>
        <w:t>objectifs</w:t>
      </w:r>
      <w:r w:rsidRPr="00651652">
        <w:rPr>
          <w:b/>
          <w:sz w:val="32"/>
          <w:szCs w:val="32"/>
        </w:rPr>
        <w:t xml:space="preserve"> de campagne</w:t>
      </w:r>
    </w:p>
    <w:p w:rsidR="0088685B" w:rsidRPr="00651652" w:rsidRDefault="0088685B" w:rsidP="0088685B">
      <w:pPr>
        <w:rPr>
          <w:u w:val="single"/>
        </w:rPr>
      </w:pPr>
      <w:r w:rsidRPr="00651652">
        <w:rPr>
          <w:u w:val="single"/>
        </w:rPr>
        <w:t xml:space="preserve">En magasin : </w:t>
      </w:r>
    </w:p>
    <w:p w:rsidR="0088685B" w:rsidRPr="00651652" w:rsidRDefault="0088685B" w:rsidP="0088685B">
      <w:pPr>
        <w:numPr>
          <w:ilvl w:val="0"/>
          <w:numId w:val="5"/>
        </w:numPr>
      </w:pPr>
      <w:r w:rsidRPr="00651652">
        <w:t>Sensibiliser aux messages de campagne, via notamment les affiches (de campagne et commerciale) et les dépliants.</w:t>
      </w:r>
    </w:p>
    <w:p w:rsidR="0088685B" w:rsidRPr="00651652" w:rsidRDefault="0088685B" w:rsidP="0088685B">
      <w:pPr>
        <w:numPr>
          <w:ilvl w:val="0"/>
          <w:numId w:val="5"/>
        </w:numPr>
      </w:pPr>
      <w:r w:rsidRPr="00651652">
        <w:t>Mettre en valeur les produits circulaires Sud et Nord (Oxygen).</w:t>
      </w:r>
    </w:p>
    <w:p w:rsidR="0088685B" w:rsidRPr="00651652" w:rsidRDefault="0088685B" w:rsidP="0088685B">
      <w:pPr>
        <w:numPr>
          <w:ilvl w:val="0"/>
          <w:numId w:val="5"/>
        </w:numPr>
      </w:pPr>
      <w:r w:rsidRPr="00651652">
        <w:t>Créer du trafic en magasins, via la vitrine et le tour d’évènements en régions.</w:t>
      </w:r>
    </w:p>
    <w:p w:rsidR="0088685B" w:rsidRPr="00651652" w:rsidRDefault="0088685B" w:rsidP="0088685B">
      <w:pPr>
        <w:rPr>
          <w:u w:val="single"/>
        </w:rPr>
      </w:pPr>
      <w:r w:rsidRPr="00651652">
        <w:rPr>
          <w:u w:val="single"/>
        </w:rPr>
        <w:t xml:space="preserve">Hors magasin : </w:t>
      </w:r>
    </w:p>
    <w:p w:rsidR="0088685B" w:rsidRPr="00651652" w:rsidRDefault="0088685B" w:rsidP="0088685B">
      <w:pPr>
        <w:numPr>
          <w:ilvl w:val="0"/>
          <w:numId w:val="6"/>
        </w:numPr>
      </w:pPr>
      <w:r>
        <w:t>C</w:t>
      </w:r>
      <w:r w:rsidRPr="00651652">
        <w:t xml:space="preserve">réer un évènement de sensibilisation : animation expo, ciné-débat, conférence gesticulée, pièce de théâtre. </w:t>
      </w:r>
    </w:p>
    <w:p w:rsidR="0088685B" w:rsidRPr="00651652" w:rsidRDefault="0088685B" w:rsidP="0088685B">
      <w:pPr>
        <w:rPr>
          <w:b/>
          <w:sz w:val="32"/>
          <w:szCs w:val="32"/>
        </w:rPr>
      </w:pPr>
    </w:p>
    <w:p w:rsidR="0088685B" w:rsidRDefault="0088685B" w:rsidP="0088685B">
      <w:pPr>
        <w:rPr>
          <w:b/>
          <w:sz w:val="32"/>
          <w:szCs w:val="32"/>
        </w:rPr>
      </w:pPr>
      <w:r>
        <w:rPr>
          <w:b/>
          <w:sz w:val="32"/>
          <w:szCs w:val="32"/>
        </w:rPr>
        <w:br w:type="page"/>
      </w:r>
    </w:p>
    <w:p w:rsidR="0088685B" w:rsidRDefault="0088685B" w:rsidP="0088685B">
      <w:pPr>
        <w:rPr>
          <w:b/>
          <w:sz w:val="32"/>
          <w:szCs w:val="32"/>
        </w:rPr>
      </w:pPr>
      <w:r>
        <w:rPr>
          <w:b/>
          <w:sz w:val="32"/>
          <w:szCs w:val="32"/>
        </w:rPr>
        <w:lastRenderedPageBreak/>
        <w:t>Outils et activités</w:t>
      </w:r>
    </w:p>
    <w:p w:rsidR="0088685B" w:rsidRPr="000F4D82" w:rsidRDefault="0088685B" w:rsidP="0088685B">
      <w:pPr>
        <w:pStyle w:val="Paragraphedeliste"/>
        <w:numPr>
          <w:ilvl w:val="0"/>
          <w:numId w:val="1"/>
        </w:numPr>
        <w:rPr>
          <w:b/>
          <w:sz w:val="32"/>
          <w:szCs w:val="32"/>
        </w:rPr>
      </w:pPr>
      <w:r>
        <w:rPr>
          <w:b/>
          <w:sz w:val="32"/>
          <w:szCs w:val="32"/>
        </w:rPr>
        <w:t>A</w:t>
      </w:r>
      <w:r w:rsidRPr="000F4D82">
        <w:rPr>
          <w:b/>
          <w:sz w:val="32"/>
          <w:szCs w:val="32"/>
        </w:rPr>
        <w:t>ffiches</w:t>
      </w:r>
    </w:p>
    <w:p w:rsidR="0088685B" w:rsidRDefault="0088685B" w:rsidP="0088685B">
      <w:pPr>
        <w:pStyle w:val="Paragraphedeliste"/>
        <w:rPr>
          <w:b/>
          <w:sz w:val="32"/>
          <w:szCs w:val="32"/>
        </w:rPr>
      </w:pPr>
    </w:p>
    <w:tbl>
      <w:tblPr>
        <w:tblStyle w:val="Grilledutableau"/>
        <w:tblW w:w="0" w:type="auto"/>
        <w:tblInd w:w="720" w:type="dxa"/>
        <w:tblLayout w:type="fixed"/>
        <w:tblLook w:val="04A0" w:firstRow="1" w:lastRow="0" w:firstColumn="1" w:lastColumn="0" w:noHBand="0" w:noVBand="1"/>
      </w:tblPr>
      <w:tblGrid>
        <w:gridCol w:w="5150"/>
        <w:gridCol w:w="2063"/>
        <w:gridCol w:w="1129"/>
      </w:tblGrid>
      <w:tr w:rsidR="0088685B" w:rsidTr="00D52EB2">
        <w:tc>
          <w:tcPr>
            <w:tcW w:w="5150" w:type="dxa"/>
          </w:tcPr>
          <w:p w:rsidR="0088685B" w:rsidRDefault="0088685B" w:rsidP="00D52EB2">
            <w:pPr>
              <w:pStyle w:val="Paragraphedeliste"/>
              <w:ind w:left="0"/>
              <w:rPr>
                <w:b/>
                <w:sz w:val="32"/>
                <w:szCs w:val="32"/>
              </w:rPr>
            </w:pPr>
            <w:r>
              <w:rPr>
                <w:noProof/>
                <w:lang w:eastAsia="fr-BE"/>
              </w:rPr>
              <w:drawing>
                <wp:inline distT="0" distB="0" distL="0" distR="0" wp14:anchorId="687DFEC3" wp14:editId="44A36844">
                  <wp:extent cx="2762250" cy="38766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2250" cy="3876675"/>
                          </a:xfrm>
                          <a:prstGeom prst="rect">
                            <a:avLst/>
                          </a:prstGeom>
                        </pic:spPr>
                      </pic:pic>
                    </a:graphicData>
                  </a:graphic>
                </wp:inline>
              </w:drawing>
            </w:r>
          </w:p>
        </w:tc>
        <w:tc>
          <w:tcPr>
            <w:tcW w:w="2063" w:type="dxa"/>
          </w:tcPr>
          <w:p w:rsidR="0088685B" w:rsidRDefault="0088685B" w:rsidP="00D52EB2">
            <w:pPr>
              <w:pStyle w:val="Paragraphedeliste"/>
              <w:ind w:left="0"/>
              <w:rPr>
                <w:b/>
                <w:sz w:val="32"/>
                <w:szCs w:val="32"/>
              </w:rPr>
            </w:pPr>
            <w:r>
              <w:rPr>
                <w:b/>
                <w:sz w:val="32"/>
                <w:szCs w:val="32"/>
              </w:rPr>
              <w:t>Affiche générique, à mettre dans votre magasin.</w:t>
            </w:r>
          </w:p>
        </w:tc>
        <w:tc>
          <w:tcPr>
            <w:tcW w:w="1129" w:type="dxa"/>
          </w:tcPr>
          <w:p w:rsidR="0088685B" w:rsidRPr="001444D5" w:rsidRDefault="0088685B" w:rsidP="00D52EB2">
            <w:pPr>
              <w:pStyle w:val="Paragraphedeliste"/>
              <w:ind w:left="0"/>
              <w:rPr>
                <w:b/>
                <w:sz w:val="24"/>
                <w:szCs w:val="24"/>
              </w:rPr>
            </w:pPr>
            <w:r w:rsidRPr="001444D5">
              <w:rPr>
                <w:b/>
                <w:sz w:val="24"/>
                <w:szCs w:val="24"/>
              </w:rPr>
              <w:t>Format A2</w:t>
            </w:r>
          </w:p>
          <w:p w:rsidR="0088685B" w:rsidRPr="001444D5" w:rsidRDefault="0088685B" w:rsidP="00D52EB2">
            <w:pPr>
              <w:pStyle w:val="Paragraphedeliste"/>
              <w:ind w:left="0"/>
              <w:rPr>
                <w:b/>
                <w:sz w:val="24"/>
                <w:szCs w:val="24"/>
              </w:rPr>
            </w:pPr>
            <w:r w:rsidRPr="001444D5">
              <w:rPr>
                <w:b/>
                <w:sz w:val="24"/>
                <w:szCs w:val="24"/>
              </w:rPr>
              <w:t>Code Navision 81659</w:t>
            </w:r>
          </w:p>
        </w:tc>
      </w:tr>
      <w:tr w:rsidR="0088685B" w:rsidTr="00D52EB2">
        <w:tc>
          <w:tcPr>
            <w:tcW w:w="5150" w:type="dxa"/>
          </w:tcPr>
          <w:p w:rsidR="0088685B" w:rsidRDefault="0088685B" w:rsidP="00D52EB2">
            <w:pPr>
              <w:pStyle w:val="Paragraphedeliste"/>
              <w:ind w:left="0"/>
              <w:rPr>
                <w:b/>
                <w:sz w:val="32"/>
                <w:szCs w:val="32"/>
              </w:rPr>
            </w:pPr>
            <w:r>
              <w:rPr>
                <w:noProof/>
                <w:lang w:eastAsia="fr-BE"/>
              </w:rPr>
              <w:drawing>
                <wp:inline distT="0" distB="0" distL="0" distR="0" wp14:anchorId="4BE3C1FC" wp14:editId="7B95ACBF">
                  <wp:extent cx="2752725" cy="38862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2725" cy="3886200"/>
                          </a:xfrm>
                          <a:prstGeom prst="rect">
                            <a:avLst/>
                          </a:prstGeom>
                        </pic:spPr>
                      </pic:pic>
                    </a:graphicData>
                  </a:graphic>
                </wp:inline>
              </w:drawing>
            </w:r>
          </w:p>
        </w:tc>
        <w:tc>
          <w:tcPr>
            <w:tcW w:w="2063" w:type="dxa"/>
          </w:tcPr>
          <w:p w:rsidR="0088685B" w:rsidRDefault="0088685B" w:rsidP="00D52EB2">
            <w:pPr>
              <w:pStyle w:val="Paragraphedeliste"/>
              <w:ind w:left="0"/>
              <w:rPr>
                <w:b/>
                <w:sz w:val="32"/>
                <w:szCs w:val="32"/>
              </w:rPr>
            </w:pPr>
            <w:r>
              <w:rPr>
                <w:b/>
                <w:sz w:val="32"/>
                <w:szCs w:val="32"/>
              </w:rPr>
              <w:t>Affiche « produits », à mettre dans votre magasin.</w:t>
            </w:r>
          </w:p>
        </w:tc>
        <w:tc>
          <w:tcPr>
            <w:tcW w:w="1129" w:type="dxa"/>
          </w:tcPr>
          <w:p w:rsidR="0088685B" w:rsidRPr="001444D5" w:rsidRDefault="0088685B" w:rsidP="00D52EB2">
            <w:pPr>
              <w:pStyle w:val="Paragraphedeliste"/>
              <w:ind w:left="0"/>
              <w:rPr>
                <w:b/>
                <w:sz w:val="24"/>
                <w:szCs w:val="24"/>
              </w:rPr>
            </w:pPr>
            <w:r w:rsidRPr="001444D5">
              <w:rPr>
                <w:b/>
                <w:sz w:val="24"/>
                <w:szCs w:val="24"/>
              </w:rPr>
              <w:t>Format A2</w:t>
            </w:r>
          </w:p>
          <w:p w:rsidR="0088685B" w:rsidRPr="001444D5" w:rsidRDefault="0088685B" w:rsidP="00D52EB2">
            <w:pPr>
              <w:pStyle w:val="Paragraphedeliste"/>
              <w:ind w:left="0"/>
              <w:rPr>
                <w:b/>
                <w:sz w:val="24"/>
                <w:szCs w:val="24"/>
              </w:rPr>
            </w:pPr>
            <w:r w:rsidRPr="001444D5">
              <w:rPr>
                <w:b/>
                <w:sz w:val="24"/>
                <w:szCs w:val="24"/>
              </w:rPr>
              <w:t>Code Navision 81660</w:t>
            </w:r>
          </w:p>
        </w:tc>
      </w:tr>
      <w:tr w:rsidR="0088685B" w:rsidTr="00D52EB2">
        <w:tc>
          <w:tcPr>
            <w:tcW w:w="5150" w:type="dxa"/>
          </w:tcPr>
          <w:p w:rsidR="0088685B" w:rsidRDefault="0088685B" w:rsidP="00D52EB2">
            <w:pPr>
              <w:pStyle w:val="Paragraphedeliste"/>
              <w:ind w:left="0"/>
              <w:rPr>
                <w:b/>
                <w:sz w:val="32"/>
                <w:szCs w:val="32"/>
              </w:rPr>
            </w:pPr>
            <w:r>
              <w:rPr>
                <w:noProof/>
                <w:lang w:eastAsia="fr-BE"/>
              </w:rPr>
              <w:lastRenderedPageBreak/>
              <w:drawing>
                <wp:inline distT="0" distB="0" distL="0" distR="0" wp14:anchorId="3811112D" wp14:editId="01CCB382">
                  <wp:extent cx="3222000" cy="2286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2000" cy="2286000"/>
                          </a:xfrm>
                          <a:prstGeom prst="rect">
                            <a:avLst/>
                          </a:prstGeom>
                        </pic:spPr>
                      </pic:pic>
                    </a:graphicData>
                  </a:graphic>
                </wp:inline>
              </w:drawing>
            </w:r>
          </w:p>
        </w:tc>
        <w:tc>
          <w:tcPr>
            <w:tcW w:w="2063" w:type="dxa"/>
          </w:tcPr>
          <w:p w:rsidR="0088685B" w:rsidRDefault="0088685B" w:rsidP="00D52EB2">
            <w:pPr>
              <w:pStyle w:val="Paragraphedeliste"/>
              <w:ind w:left="0"/>
              <w:rPr>
                <w:b/>
                <w:sz w:val="32"/>
                <w:szCs w:val="32"/>
              </w:rPr>
            </w:pPr>
            <w:r>
              <w:rPr>
                <w:b/>
                <w:sz w:val="32"/>
                <w:szCs w:val="32"/>
              </w:rPr>
              <w:t xml:space="preserve">Affiche pédagogique, uniquement pour les animations </w:t>
            </w:r>
          </w:p>
        </w:tc>
        <w:tc>
          <w:tcPr>
            <w:tcW w:w="1129" w:type="dxa"/>
          </w:tcPr>
          <w:p w:rsidR="0088685B" w:rsidRPr="001444D5" w:rsidRDefault="0088685B" w:rsidP="00D52EB2">
            <w:pPr>
              <w:pStyle w:val="Paragraphedeliste"/>
              <w:ind w:left="0"/>
              <w:rPr>
                <w:b/>
                <w:sz w:val="24"/>
                <w:szCs w:val="24"/>
              </w:rPr>
            </w:pPr>
            <w:r w:rsidRPr="001444D5">
              <w:rPr>
                <w:b/>
                <w:sz w:val="24"/>
                <w:szCs w:val="24"/>
              </w:rPr>
              <w:t>Format A</w:t>
            </w:r>
            <w:r>
              <w:rPr>
                <w:b/>
                <w:sz w:val="24"/>
                <w:szCs w:val="24"/>
              </w:rPr>
              <w:t>1</w:t>
            </w:r>
          </w:p>
          <w:p w:rsidR="0088685B" w:rsidRDefault="0088685B" w:rsidP="00D52EB2">
            <w:pPr>
              <w:pStyle w:val="Paragraphedeliste"/>
              <w:ind w:left="0"/>
              <w:rPr>
                <w:b/>
                <w:sz w:val="32"/>
                <w:szCs w:val="32"/>
              </w:rPr>
            </w:pPr>
            <w:r w:rsidRPr="001444D5">
              <w:rPr>
                <w:b/>
                <w:sz w:val="24"/>
                <w:szCs w:val="24"/>
              </w:rPr>
              <w:t>Code Navision 816</w:t>
            </w:r>
            <w:r>
              <w:rPr>
                <w:b/>
                <w:sz w:val="24"/>
                <w:szCs w:val="24"/>
              </w:rPr>
              <w:t>58</w:t>
            </w:r>
          </w:p>
        </w:tc>
      </w:tr>
    </w:tbl>
    <w:p w:rsidR="0088685B" w:rsidRDefault="0088685B" w:rsidP="0088685B">
      <w:pPr>
        <w:pStyle w:val="Paragraphedeliste"/>
        <w:rPr>
          <w:b/>
          <w:sz w:val="32"/>
          <w:szCs w:val="32"/>
        </w:rPr>
      </w:pPr>
    </w:p>
    <w:p w:rsidR="0088685B" w:rsidRDefault="0088685B" w:rsidP="0088685B">
      <w:pPr>
        <w:pStyle w:val="Paragraphedeliste"/>
        <w:rPr>
          <w:b/>
          <w:sz w:val="32"/>
          <w:szCs w:val="32"/>
        </w:rPr>
      </w:pPr>
    </w:p>
    <w:p w:rsidR="0088685B" w:rsidRDefault="0088685B" w:rsidP="0088685B">
      <w:pPr>
        <w:pStyle w:val="Paragraphedeliste"/>
        <w:numPr>
          <w:ilvl w:val="0"/>
          <w:numId w:val="1"/>
        </w:numPr>
        <w:rPr>
          <w:b/>
          <w:sz w:val="32"/>
          <w:szCs w:val="32"/>
        </w:rPr>
      </w:pPr>
      <w:r>
        <w:rPr>
          <w:b/>
          <w:sz w:val="32"/>
          <w:szCs w:val="32"/>
        </w:rPr>
        <w:t>Dossier et dépliant</w:t>
      </w:r>
    </w:p>
    <w:p w:rsidR="0088685B" w:rsidRDefault="0088685B" w:rsidP="0088685B">
      <w:pPr>
        <w:pStyle w:val="Paragraphedeliste"/>
        <w:rPr>
          <w:b/>
          <w:sz w:val="32"/>
          <w:szCs w:val="32"/>
        </w:rPr>
      </w:pPr>
    </w:p>
    <w:tbl>
      <w:tblPr>
        <w:tblStyle w:val="Grilledutableau"/>
        <w:tblW w:w="0" w:type="auto"/>
        <w:tblInd w:w="720" w:type="dxa"/>
        <w:tblLook w:val="04A0" w:firstRow="1" w:lastRow="0" w:firstColumn="1" w:lastColumn="0" w:noHBand="0" w:noVBand="1"/>
      </w:tblPr>
      <w:tblGrid>
        <w:gridCol w:w="4866"/>
        <w:gridCol w:w="2185"/>
        <w:gridCol w:w="1291"/>
      </w:tblGrid>
      <w:tr w:rsidR="0088685B" w:rsidTr="00D52EB2">
        <w:tc>
          <w:tcPr>
            <w:tcW w:w="4866" w:type="dxa"/>
          </w:tcPr>
          <w:p w:rsidR="0088685B" w:rsidRDefault="0088685B" w:rsidP="00D52EB2">
            <w:pPr>
              <w:pStyle w:val="Paragraphedeliste"/>
              <w:ind w:left="0"/>
              <w:rPr>
                <w:b/>
                <w:sz w:val="32"/>
                <w:szCs w:val="32"/>
              </w:rPr>
            </w:pPr>
            <w:r>
              <w:rPr>
                <w:noProof/>
                <w:lang w:eastAsia="fr-BE"/>
              </w:rPr>
              <w:drawing>
                <wp:inline distT="0" distB="0" distL="0" distR="0" wp14:anchorId="250F32A2" wp14:editId="5316315E">
                  <wp:extent cx="2370164" cy="33623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4380" cy="3368305"/>
                          </a:xfrm>
                          <a:prstGeom prst="rect">
                            <a:avLst/>
                          </a:prstGeom>
                        </pic:spPr>
                      </pic:pic>
                    </a:graphicData>
                  </a:graphic>
                </wp:inline>
              </w:drawing>
            </w:r>
          </w:p>
        </w:tc>
        <w:tc>
          <w:tcPr>
            <w:tcW w:w="2185" w:type="dxa"/>
          </w:tcPr>
          <w:p w:rsidR="0088685B" w:rsidRDefault="0088685B" w:rsidP="00D52EB2">
            <w:pPr>
              <w:pStyle w:val="Paragraphedeliste"/>
              <w:ind w:left="0"/>
              <w:rPr>
                <w:b/>
                <w:sz w:val="32"/>
                <w:szCs w:val="32"/>
              </w:rPr>
            </w:pPr>
            <w:r>
              <w:rPr>
                <w:b/>
                <w:sz w:val="32"/>
                <w:szCs w:val="32"/>
              </w:rPr>
              <w:t xml:space="preserve">Dépliant, à distribuer en magasin et lors d’actions (stands, conférences...) </w:t>
            </w:r>
          </w:p>
        </w:tc>
        <w:tc>
          <w:tcPr>
            <w:tcW w:w="1291" w:type="dxa"/>
          </w:tcPr>
          <w:p w:rsidR="0088685B" w:rsidRPr="001444D5" w:rsidRDefault="0088685B" w:rsidP="00D52EB2">
            <w:pPr>
              <w:pStyle w:val="Paragraphedeliste"/>
              <w:ind w:left="0"/>
              <w:rPr>
                <w:b/>
                <w:sz w:val="24"/>
                <w:szCs w:val="24"/>
              </w:rPr>
            </w:pPr>
            <w:r w:rsidRPr="001444D5">
              <w:rPr>
                <w:b/>
                <w:sz w:val="24"/>
                <w:szCs w:val="24"/>
              </w:rPr>
              <w:t>Format A</w:t>
            </w:r>
            <w:r>
              <w:rPr>
                <w:b/>
                <w:sz w:val="24"/>
                <w:szCs w:val="24"/>
              </w:rPr>
              <w:t>5</w:t>
            </w:r>
          </w:p>
          <w:p w:rsidR="0088685B" w:rsidRDefault="0088685B" w:rsidP="00D52EB2">
            <w:pPr>
              <w:pStyle w:val="Paragraphedeliste"/>
              <w:ind w:left="0"/>
              <w:rPr>
                <w:b/>
                <w:sz w:val="32"/>
                <w:szCs w:val="32"/>
              </w:rPr>
            </w:pPr>
            <w:r w:rsidRPr="001444D5">
              <w:rPr>
                <w:b/>
                <w:sz w:val="24"/>
                <w:szCs w:val="24"/>
              </w:rPr>
              <w:t>Code Navision 816</w:t>
            </w:r>
            <w:r>
              <w:rPr>
                <w:b/>
                <w:sz w:val="24"/>
                <w:szCs w:val="24"/>
              </w:rPr>
              <w:t>57</w:t>
            </w:r>
          </w:p>
        </w:tc>
      </w:tr>
      <w:tr w:rsidR="0088685B" w:rsidTr="00D52EB2">
        <w:tc>
          <w:tcPr>
            <w:tcW w:w="4866" w:type="dxa"/>
          </w:tcPr>
          <w:p w:rsidR="0088685B" w:rsidRDefault="0088685B" w:rsidP="00D52EB2">
            <w:pPr>
              <w:pStyle w:val="Paragraphedeliste"/>
              <w:ind w:left="0"/>
              <w:rPr>
                <w:b/>
                <w:sz w:val="32"/>
                <w:szCs w:val="32"/>
              </w:rPr>
            </w:pPr>
            <w:r>
              <w:rPr>
                <w:noProof/>
                <w:lang w:eastAsia="fr-BE"/>
              </w:rPr>
              <w:lastRenderedPageBreak/>
              <w:drawing>
                <wp:inline distT="0" distB="0" distL="0" distR="0" wp14:anchorId="1570BCB1" wp14:editId="2103881A">
                  <wp:extent cx="2943225" cy="39433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3225" cy="3943350"/>
                          </a:xfrm>
                          <a:prstGeom prst="rect">
                            <a:avLst/>
                          </a:prstGeom>
                        </pic:spPr>
                      </pic:pic>
                    </a:graphicData>
                  </a:graphic>
                </wp:inline>
              </w:drawing>
            </w:r>
          </w:p>
        </w:tc>
        <w:tc>
          <w:tcPr>
            <w:tcW w:w="2185" w:type="dxa"/>
          </w:tcPr>
          <w:p w:rsidR="0088685B" w:rsidRDefault="0088685B" w:rsidP="00D52EB2">
            <w:pPr>
              <w:pStyle w:val="Paragraphedeliste"/>
              <w:ind w:left="0"/>
              <w:rPr>
                <w:b/>
                <w:sz w:val="32"/>
                <w:szCs w:val="32"/>
              </w:rPr>
            </w:pPr>
            <w:r>
              <w:rPr>
                <w:b/>
                <w:sz w:val="32"/>
                <w:szCs w:val="32"/>
              </w:rPr>
              <w:t xml:space="preserve">Dossier, 36 pages, à distribuer en magasin et lors d’actions (stands, conférences...) </w:t>
            </w:r>
          </w:p>
        </w:tc>
        <w:tc>
          <w:tcPr>
            <w:tcW w:w="1291" w:type="dxa"/>
          </w:tcPr>
          <w:p w:rsidR="0088685B" w:rsidRPr="001444D5" w:rsidRDefault="0088685B" w:rsidP="00D52EB2">
            <w:pPr>
              <w:pStyle w:val="Paragraphedeliste"/>
              <w:ind w:left="0"/>
              <w:rPr>
                <w:b/>
                <w:sz w:val="24"/>
                <w:szCs w:val="24"/>
              </w:rPr>
            </w:pPr>
            <w:r w:rsidRPr="001444D5">
              <w:rPr>
                <w:b/>
                <w:sz w:val="24"/>
                <w:szCs w:val="24"/>
              </w:rPr>
              <w:t>Format A</w:t>
            </w:r>
            <w:r>
              <w:rPr>
                <w:b/>
                <w:sz w:val="24"/>
                <w:szCs w:val="24"/>
              </w:rPr>
              <w:t>4</w:t>
            </w:r>
          </w:p>
          <w:p w:rsidR="0088685B" w:rsidRDefault="0088685B" w:rsidP="00D52EB2">
            <w:pPr>
              <w:pStyle w:val="Paragraphedeliste"/>
              <w:ind w:left="0"/>
              <w:rPr>
                <w:b/>
                <w:sz w:val="32"/>
                <w:szCs w:val="32"/>
              </w:rPr>
            </w:pPr>
            <w:r w:rsidRPr="001444D5">
              <w:rPr>
                <w:b/>
                <w:sz w:val="24"/>
                <w:szCs w:val="24"/>
              </w:rPr>
              <w:t>Code Navision 816</w:t>
            </w:r>
            <w:r>
              <w:rPr>
                <w:b/>
                <w:sz w:val="24"/>
                <w:szCs w:val="24"/>
              </w:rPr>
              <w:t>56</w:t>
            </w:r>
          </w:p>
        </w:tc>
      </w:tr>
    </w:tbl>
    <w:p w:rsidR="0088685B" w:rsidRDefault="0088685B" w:rsidP="0088685B">
      <w:pPr>
        <w:pStyle w:val="Paragraphedeliste"/>
        <w:rPr>
          <w:b/>
          <w:sz w:val="32"/>
          <w:szCs w:val="32"/>
        </w:rPr>
      </w:pPr>
    </w:p>
    <w:p w:rsidR="0088685B" w:rsidRDefault="0088685B" w:rsidP="0088685B">
      <w:pPr>
        <w:pStyle w:val="Paragraphedeliste"/>
      </w:pPr>
      <w:r>
        <w:t xml:space="preserve">Si le sujet vous passionne, voir également l’étude « Transition écologique et inégalités mondiales. « Pour une approche solidaire et équitable face aux enjeux sociaux et climatiques » : </w:t>
      </w:r>
      <w:hyperlink r:id="rId14" w:anchor=".XrlRdM3gol0" w:history="1">
        <w:r w:rsidRPr="0095042A">
          <w:rPr>
            <w:rStyle w:val="Lienhypertexte"/>
          </w:rPr>
          <w:t>https://www.oxfammagasinsdumonde.be/blog/etude/transition-ecologique-et-inegalites-mondiales-pour-une-approche-solidaire-et-equitable-face-aux-enjeux-sociaux-et-climatiques/#.XrlRdM3gol0</w:t>
        </w:r>
      </w:hyperlink>
    </w:p>
    <w:p w:rsidR="0088685B" w:rsidRDefault="0088685B" w:rsidP="0088685B">
      <w:pPr>
        <w:pStyle w:val="Paragraphedeliste"/>
      </w:pPr>
    </w:p>
    <w:p w:rsidR="0088685B" w:rsidRPr="00551C85" w:rsidRDefault="0088685B" w:rsidP="0088685B">
      <w:pPr>
        <w:pStyle w:val="Paragraphedeliste"/>
        <w:rPr>
          <w:sz w:val="32"/>
          <w:szCs w:val="32"/>
        </w:rPr>
      </w:pPr>
    </w:p>
    <w:p w:rsidR="0088685B" w:rsidRDefault="0088685B" w:rsidP="0088685B">
      <w:pPr>
        <w:pStyle w:val="Paragraphedeliste"/>
        <w:numPr>
          <w:ilvl w:val="0"/>
          <w:numId w:val="1"/>
        </w:numPr>
        <w:rPr>
          <w:b/>
          <w:sz w:val="32"/>
          <w:szCs w:val="32"/>
        </w:rPr>
      </w:pPr>
      <w:r>
        <w:rPr>
          <w:b/>
          <w:sz w:val="32"/>
          <w:szCs w:val="32"/>
        </w:rPr>
        <w:t>Vidéos</w:t>
      </w:r>
    </w:p>
    <w:p w:rsidR="0088685B" w:rsidRDefault="0088685B" w:rsidP="0088685B">
      <w:pPr>
        <w:pStyle w:val="Paragraphedeliste"/>
      </w:pPr>
      <w:r>
        <w:t xml:space="preserve">Nous avons réalisé une vidéo pour donner envie au public de s’informer davantage sur l’économie du donut. Voir ici : </w:t>
      </w:r>
      <w:hyperlink r:id="rId15" w:history="1">
        <w:r w:rsidRPr="008E6895">
          <w:rPr>
            <w:rStyle w:val="Lienhypertexte"/>
          </w:rPr>
          <w:t>www.oxfammagasinsdumonde.be/donut/</w:t>
        </w:r>
      </w:hyperlink>
    </w:p>
    <w:p w:rsidR="0088685B" w:rsidRDefault="0088685B" w:rsidP="0088685B">
      <w:pPr>
        <w:pStyle w:val="Paragraphedeliste"/>
      </w:pPr>
    </w:p>
    <w:p w:rsidR="0088685B" w:rsidRDefault="0088685B" w:rsidP="0088685B">
      <w:pPr>
        <w:pStyle w:val="Paragraphedeliste"/>
      </w:pPr>
      <w:r>
        <w:t xml:space="preserve">Par ailleurs, il existe d’autres vidéos réalisées par Kate Raworth sur l’économie du donut, dont celle-ci, sous-titrée en français : </w:t>
      </w:r>
    </w:p>
    <w:p w:rsidR="0088685B" w:rsidRDefault="00A13FFC" w:rsidP="0088685B">
      <w:pPr>
        <w:pStyle w:val="Paragraphedeliste"/>
      </w:pPr>
      <w:hyperlink r:id="rId16" w:history="1">
        <w:r w:rsidR="0088685B" w:rsidRPr="0095042A">
          <w:rPr>
            <w:rStyle w:val="Lienhypertexte"/>
          </w:rPr>
          <w:t>https://www.youtube.com/watch?v=y2xhT0wfA84</w:t>
        </w:r>
      </w:hyperlink>
    </w:p>
    <w:p w:rsidR="0088685B" w:rsidRDefault="0088685B" w:rsidP="0088685B">
      <w:pPr>
        <w:pStyle w:val="Paragraphedeliste"/>
        <w:rPr>
          <w:b/>
          <w:sz w:val="32"/>
          <w:szCs w:val="32"/>
        </w:rPr>
      </w:pPr>
    </w:p>
    <w:p w:rsidR="0088685B" w:rsidRDefault="0088685B" w:rsidP="0088685B">
      <w:pPr>
        <w:pStyle w:val="Paragraphedeliste"/>
        <w:numPr>
          <w:ilvl w:val="0"/>
          <w:numId w:val="1"/>
        </w:numPr>
        <w:rPr>
          <w:b/>
          <w:sz w:val="32"/>
          <w:szCs w:val="32"/>
        </w:rPr>
      </w:pPr>
      <w:r>
        <w:rPr>
          <w:b/>
          <w:sz w:val="32"/>
          <w:szCs w:val="32"/>
        </w:rPr>
        <w:t>Une exposition à emprunter</w:t>
      </w:r>
    </w:p>
    <w:p w:rsidR="0088685B" w:rsidRDefault="0088685B" w:rsidP="0088685B">
      <w:pPr>
        <w:pStyle w:val="Paragraphedeliste"/>
      </w:pPr>
      <w:r>
        <w:t xml:space="preserve">Cette exposition est composée de 5 panneaux en carton recto-verso (100X200cm) + 5 silhouettes (180cm de haut) en carton recto-verso + un panneau central avec la cible du donut. Le tout est facile à transporter et à monter. </w:t>
      </w:r>
    </w:p>
    <w:p w:rsidR="0088685B" w:rsidRDefault="0088685B" w:rsidP="0088685B">
      <w:pPr>
        <w:pStyle w:val="Paragraphedeliste"/>
      </w:pPr>
    </w:p>
    <w:p w:rsidR="0088685B" w:rsidRDefault="0088685B" w:rsidP="0088685B">
      <w:pPr>
        <w:pStyle w:val="Paragraphedeliste"/>
      </w:pPr>
      <w:r>
        <w:t xml:space="preserve">L’expo fait le lien entre la crise actuelle du Covid-19, la nécessaire transition écologique et sociale et le commerce équitable. L’exposition peut être auto-portée ou animée (notamment avec un quiz, des jeux en ligne et une « cible donut »). Elle s’adresse à un public dès 15 ans </w:t>
      </w:r>
      <w:r>
        <w:lastRenderedPageBreak/>
        <w:t xml:space="preserve">mais convient aussi pour les adultes. Disponible à partir d’octobre 2020. Plus d’infos sur notre plate-forme </w:t>
      </w:r>
      <w:hyperlink r:id="rId17" w:history="1">
        <w:r w:rsidRPr="006543AD">
          <w:rPr>
            <w:rStyle w:val="Lienhypertexte"/>
          </w:rPr>
          <w:t>www.outilsoxfam.be</w:t>
        </w:r>
      </w:hyperlink>
    </w:p>
    <w:p w:rsidR="0088685B" w:rsidRDefault="0088685B" w:rsidP="0088685B">
      <w:pPr>
        <w:pStyle w:val="Paragraphedeliste"/>
      </w:pPr>
    </w:p>
    <w:p w:rsidR="0088685B" w:rsidRDefault="0088685B" w:rsidP="0088685B">
      <w:pPr>
        <w:pStyle w:val="Paragraphedeliste"/>
      </w:pPr>
    </w:p>
    <w:p w:rsidR="0088685B" w:rsidRPr="00C13A22" w:rsidRDefault="0088685B" w:rsidP="0088685B">
      <w:pPr>
        <w:pStyle w:val="Paragraphedeliste"/>
        <w:numPr>
          <w:ilvl w:val="0"/>
          <w:numId w:val="1"/>
        </w:numPr>
        <w:rPr>
          <w:b/>
          <w:sz w:val="32"/>
          <w:szCs w:val="32"/>
        </w:rPr>
      </w:pPr>
      <w:r w:rsidRPr="00C13A22">
        <w:rPr>
          <w:b/>
          <w:sz w:val="32"/>
          <w:szCs w:val="32"/>
        </w:rPr>
        <w:t xml:space="preserve">Une animation pour présenter le concept du donut : </w:t>
      </w:r>
      <w:r>
        <w:rPr>
          <w:b/>
          <w:sz w:val="32"/>
          <w:szCs w:val="32"/>
        </w:rPr>
        <w:t xml:space="preserve">Visons le donut ! </w:t>
      </w:r>
    </w:p>
    <w:p w:rsidR="0088685B" w:rsidRDefault="0088685B" w:rsidP="0088685B">
      <w:pPr>
        <w:pStyle w:val="Paragraphedeliste"/>
      </w:pPr>
    </w:p>
    <w:p w:rsidR="0088685B" w:rsidRDefault="0088685B" w:rsidP="0088685B">
      <w:pPr>
        <w:pStyle w:val="Paragraphedeliste"/>
      </w:pPr>
      <w:r w:rsidRPr="00C13A22">
        <w:t>Nous avons conçu un jeu de fléchettes en lien avec le donut</w:t>
      </w:r>
      <w:r>
        <w:t xml:space="preserve">. Pour l’organiser, vous aurez notamment besoin de </w:t>
      </w:r>
      <w:r w:rsidRPr="00C13A22">
        <w:t xml:space="preserve">l’affiche </w:t>
      </w:r>
      <w:r>
        <w:t>pédagogique</w:t>
      </w:r>
      <w:r w:rsidRPr="00C13A22">
        <w:t xml:space="preserve"> (format A1</w:t>
      </w:r>
      <w:r>
        <w:t xml:space="preserve"> à commander</w:t>
      </w:r>
      <w:r w:rsidRPr="00C13A22">
        <w:t xml:space="preserve"> via </w:t>
      </w:r>
      <w:r>
        <w:t>www.outilsoxfam.be</w:t>
      </w:r>
      <w:hyperlink r:id="rId18" w:history="1"/>
      <w:r>
        <w:t xml:space="preserve">), de fléchettes (à trouver par vous-mêmes) et d’un panneau  sur lequel apposer l’affiche. </w:t>
      </w:r>
    </w:p>
    <w:p w:rsidR="0088685B" w:rsidRDefault="0088685B" w:rsidP="0088685B">
      <w:pPr>
        <w:pStyle w:val="Paragraphedeliste"/>
      </w:pPr>
    </w:p>
    <w:p w:rsidR="0088685B" w:rsidRDefault="0088685B" w:rsidP="0088685B">
      <w:pPr>
        <w:pStyle w:val="Paragraphedeliste"/>
      </w:pPr>
      <w:r>
        <w:t>Cette animation peut s’adapter à un stand (10 min) ou dans un autre contexte (45 min</w:t>
      </w:r>
      <w:r w:rsidRPr="00C13A22">
        <w:t xml:space="preserve">. </w:t>
      </w:r>
    </w:p>
    <w:p w:rsidR="0088685B" w:rsidRDefault="0088685B" w:rsidP="0088685B">
      <w:pPr>
        <w:pStyle w:val="Paragraphedeliste"/>
      </w:pPr>
      <w:r>
        <w:t xml:space="preserve">Une fiche d’animation complète est téléchargeable via </w:t>
      </w:r>
      <w:hyperlink r:id="rId19" w:history="1">
        <w:r w:rsidRPr="009423AD">
          <w:rPr>
            <w:rStyle w:val="Lienhypertexte"/>
          </w:rPr>
          <w:t>www.outilsoxfam.be</w:t>
        </w:r>
      </w:hyperlink>
      <w:r>
        <w:t>, en cherchant l’affiche pédagogique.</w:t>
      </w:r>
    </w:p>
    <w:p w:rsidR="0088685B" w:rsidRDefault="0088685B" w:rsidP="0088685B">
      <w:pPr>
        <w:pStyle w:val="Paragraphedeliste"/>
        <w:rPr>
          <w:rStyle w:val="Lienhypertexte"/>
        </w:rPr>
      </w:pPr>
      <w:r>
        <w:t xml:space="preserve">Pour le contenu, nous avons conçu un padlet qui reprend toutes les informations utiles : </w:t>
      </w:r>
      <w:hyperlink r:id="rId20" w:history="1">
        <w:r w:rsidRPr="001F19BD">
          <w:rPr>
            <w:rStyle w:val="Lienhypertexte"/>
          </w:rPr>
          <w:t>https://padlet.com/anabelledelonnette/OMDM_Jeudeflechettes</w:t>
        </w:r>
      </w:hyperlink>
      <w:r w:rsidRPr="001F19BD">
        <w:rPr>
          <w:rStyle w:val="Lienhypertexte"/>
        </w:rPr>
        <w:t xml:space="preserve"> </w:t>
      </w:r>
    </w:p>
    <w:p w:rsidR="0088685B" w:rsidRPr="00C13A22" w:rsidRDefault="0088685B" w:rsidP="0088685B">
      <w:pPr>
        <w:pStyle w:val="Paragraphedeliste"/>
      </w:pPr>
    </w:p>
    <w:p w:rsidR="0088685B" w:rsidRPr="00C13A22" w:rsidRDefault="0088685B" w:rsidP="0088685B">
      <w:pPr>
        <w:pStyle w:val="Paragraphedeliste"/>
      </w:pPr>
    </w:p>
    <w:p w:rsidR="0088685B" w:rsidRDefault="0088685B" w:rsidP="0088685B">
      <w:pPr>
        <w:pStyle w:val="Paragraphedeliste"/>
        <w:numPr>
          <w:ilvl w:val="0"/>
          <w:numId w:val="1"/>
        </w:numPr>
        <w:rPr>
          <w:b/>
          <w:sz w:val="32"/>
          <w:szCs w:val="32"/>
        </w:rPr>
      </w:pPr>
      <w:r>
        <w:rPr>
          <w:b/>
          <w:sz w:val="32"/>
          <w:szCs w:val="32"/>
        </w:rPr>
        <w:t>Théâtre</w:t>
      </w:r>
    </w:p>
    <w:p w:rsidR="0088685B" w:rsidRDefault="0088685B" w:rsidP="0088685B">
      <w:r>
        <w:t>Petit à petit, les salles de théâtre vont pouvoir rouvrir, sous certaines conditions. Voici deux pièces qui s’adressent à différents publics, en espérant qu’il sera possible pour vous de les programmer dans le courant de 2021, en collaboration avec votre Centre Culturel ou une autre association.</w:t>
      </w:r>
    </w:p>
    <w:tbl>
      <w:tblPr>
        <w:tblW w:w="9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5524"/>
        <w:gridCol w:w="1577"/>
      </w:tblGrid>
      <w:tr w:rsidR="0088685B" w:rsidRPr="00AE1C81" w:rsidTr="00D52EB2">
        <w:trPr>
          <w:trHeight w:val="2538"/>
        </w:trPr>
        <w:tc>
          <w:tcPr>
            <w:tcW w:w="2376" w:type="dxa"/>
          </w:tcPr>
          <w:p w:rsidR="0088685B" w:rsidRDefault="0088685B" w:rsidP="00D52EB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Le commerce équitable, c’est quoi cette arnaque ? de la Cie Alvéole </w:t>
            </w:r>
          </w:p>
          <w:p w:rsidR="0088685B" w:rsidRDefault="0088685B" w:rsidP="00D52EB2">
            <w:pPr>
              <w:autoSpaceDE w:val="0"/>
              <w:autoSpaceDN w:val="0"/>
              <w:adjustRightInd w:val="0"/>
              <w:spacing w:after="0" w:line="240" w:lineRule="auto"/>
              <w:rPr>
                <w:rFonts w:ascii="Calibri" w:hAnsi="Calibri" w:cs="Calibri"/>
                <w:b/>
                <w:bCs/>
                <w:color w:val="000000"/>
              </w:rPr>
            </w:pPr>
          </w:p>
          <w:p w:rsidR="0088685B" w:rsidRDefault="0088685B" w:rsidP="00D52EB2">
            <w:pPr>
              <w:autoSpaceDE w:val="0"/>
              <w:autoSpaceDN w:val="0"/>
              <w:adjustRightInd w:val="0"/>
              <w:spacing w:after="0" w:line="240" w:lineRule="auto"/>
            </w:pPr>
            <w:r>
              <w:t>2x50 minutes (spectacle + débat)</w:t>
            </w:r>
          </w:p>
          <w:p w:rsidR="0088685B" w:rsidRDefault="0088685B" w:rsidP="00D52EB2">
            <w:pPr>
              <w:autoSpaceDE w:val="0"/>
              <w:autoSpaceDN w:val="0"/>
              <w:adjustRightInd w:val="0"/>
              <w:spacing w:after="0" w:line="240" w:lineRule="auto"/>
            </w:pPr>
          </w:p>
          <w:p w:rsidR="0088685B" w:rsidRDefault="0088685B" w:rsidP="00D52EB2">
            <w:pPr>
              <w:autoSpaceDE w:val="0"/>
              <w:autoSpaceDN w:val="0"/>
              <w:adjustRightInd w:val="0"/>
              <w:spacing w:after="0" w:line="240" w:lineRule="auto"/>
            </w:pPr>
            <w:r>
              <w:t>Publics : étudiant-e·-s de l’enseignement secondaire supérieur et de l’enseignement supérieur, adultes.</w:t>
            </w:r>
          </w:p>
          <w:p w:rsidR="0088685B" w:rsidRDefault="0088685B" w:rsidP="00D52EB2">
            <w:pPr>
              <w:autoSpaceDE w:val="0"/>
              <w:autoSpaceDN w:val="0"/>
              <w:adjustRightInd w:val="0"/>
              <w:spacing w:after="0" w:line="240" w:lineRule="auto"/>
              <w:rPr>
                <w:rFonts w:ascii="Calibri" w:hAnsi="Calibri" w:cs="Calibri"/>
                <w:b/>
                <w:bCs/>
                <w:color w:val="000000"/>
              </w:rPr>
            </w:pPr>
          </w:p>
          <w:p w:rsidR="0088685B" w:rsidRDefault="0088685B" w:rsidP="00D52EB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Coût : </w:t>
            </w:r>
          </w:p>
          <w:p w:rsidR="0088685B" w:rsidRDefault="0088685B" w:rsidP="00D52EB2">
            <w:r>
              <w:t>1425 euros + frais de déplacements. Réductions de  570 euros avec le soutien des Tournées arts et vie et de 285 € de la Province (voir conditions ci-contre)</w:t>
            </w:r>
          </w:p>
          <w:p w:rsidR="0088685B" w:rsidRPr="007910BF" w:rsidRDefault="0088685B" w:rsidP="00D52EB2">
            <w:pPr>
              <w:rPr>
                <w:rFonts w:ascii="Calibri" w:hAnsi="Calibri" w:cs="Calibri"/>
                <w:b/>
                <w:bCs/>
                <w:color w:val="000000"/>
              </w:rPr>
            </w:pPr>
          </w:p>
        </w:tc>
        <w:tc>
          <w:tcPr>
            <w:tcW w:w="5524" w:type="dxa"/>
          </w:tcPr>
          <w:p w:rsidR="0088685B" w:rsidRDefault="0088685B" w:rsidP="00D52EB2">
            <w:r>
              <w:lastRenderedPageBreak/>
              <w:t>La création de ce spectacle a notamment été soutenue par Oxfam-Mdm.</w:t>
            </w:r>
          </w:p>
          <w:p w:rsidR="0088685B" w:rsidRDefault="0088685B" w:rsidP="00D52EB2">
            <w:r>
              <w:t>A qui profite le commerce équitable ? Quel est le bilan écologique des produits fair trade ? Pourquoi sont-ils plus chers ? Faut-il boycotter les multinationales ? Consommer local, n’est-ce pas la solution ? …</w:t>
            </w:r>
          </w:p>
          <w:p w:rsidR="0088685B" w:rsidRDefault="0088685B" w:rsidP="00D52EB2">
            <w:r>
              <w:t>Conférence-débat drôle et théâtralisée en compagnie de Mathias Grandjean, professeur d’économie à l’Université de Montaigne-Lille et Louisa de Beaufort, chargée d’éducation citoyenne à l’ONG Impulsions Bruxelles. Entre les deux, Mireille Bosendorf, agricultrice à Bossogne qui aimerait être partout sauf entre ces deux-là ! Nos trois invités nous parlent de tout ça sans langue de bois pour amener chacun à réfléchir aux questions abordées. Votre implication sera nécessaire pour démêler le joyeux désaccord qui les anime.</w:t>
            </w:r>
          </w:p>
          <w:p w:rsidR="0088685B" w:rsidRDefault="0088685B" w:rsidP="00D52EB2">
            <w:r>
              <w:t xml:space="preserve">Qui peut bénéficier des subsides « Art et Vie » ? </w:t>
            </w:r>
          </w:p>
          <w:p w:rsidR="0088685B" w:rsidRDefault="0088685B" w:rsidP="0088685B">
            <w:pPr>
              <w:pStyle w:val="Paragraphedeliste"/>
              <w:numPr>
                <w:ilvl w:val="0"/>
                <w:numId w:val="3"/>
              </w:numPr>
              <w:spacing w:after="0" w:line="240" w:lineRule="auto"/>
              <w:contextualSpacing w:val="0"/>
            </w:pPr>
            <w:r>
              <w:t>Les écoles peuvent faire appel aux Tournée Art et Vie (réduction de 570€)</w:t>
            </w:r>
          </w:p>
          <w:p w:rsidR="0088685B" w:rsidRDefault="0088685B" w:rsidP="0088685B">
            <w:pPr>
              <w:pStyle w:val="Paragraphedeliste"/>
              <w:numPr>
                <w:ilvl w:val="0"/>
                <w:numId w:val="3"/>
              </w:numPr>
              <w:spacing w:after="0" w:line="240" w:lineRule="auto"/>
              <w:contextualSpacing w:val="0"/>
            </w:pPr>
            <w:r>
              <w:t>Les Centres Culturels</w:t>
            </w:r>
          </w:p>
          <w:p w:rsidR="0088685B" w:rsidRDefault="0088685B" w:rsidP="0088685B">
            <w:pPr>
              <w:pStyle w:val="Paragraphedeliste"/>
              <w:numPr>
                <w:ilvl w:val="0"/>
                <w:numId w:val="3"/>
              </w:numPr>
              <w:spacing w:after="0" w:line="240" w:lineRule="auto"/>
              <w:contextualSpacing w:val="0"/>
            </w:pPr>
            <w:r>
              <w:lastRenderedPageBreak/>
              <w:t xml:space="preserve">Les mouvements d’éducation permanente </w:t>
            </w:r>
          </w:p>
          <w:p w:rsidR="0088685B" w:rsidRDefault="0088685B" w:rsidP="00D52EB2">
            <w:r>
              <w:t xml:space="preserve">Attention, pour en bénéficier, un droit d’entrée de minimum 4 euros est demandé ! le dossier doit être bouclé 6 semaines avant la représentation. </w:t>
            </w:r>
          </w:p>
          <w:p w:rsidR="0088685B" w:rsidRDefault="0088685B" w:rsidP="00D52EB2">
            <w:r>
              <w:t>Un seul formulaire doit être introduit pour les 2 soutiens (FWB et Province).</w:t>
            </w:r>
          </w:p>
          <w:p w:rsidR="0088685B" w:rsidRDefault="0088685B" w:rsidP="00D52EB2">
            <w:r>
              <w:t xml:space="preserve">Plus d’infos : </w:t>
            </w:r>
            <w:hyperlink r:id="rId21" w:history="1">
              <w:r>
                <w:rPr>
                  <w:rStyle w:val="Lienhypertexte"/>
                </w:rPr>
                <w:t>http://www.creationartistique.cfwb.be/index.php?id=8143</w:t>
              </w:r>
            </w:hyperlink>
          </w:p>
          <w:p w:rsidR="0088685B" w:rsidRDefault="0088685B" w:rsidP="00D52EB2"/>
          <w:p w:rsidR="0088685B" w:rsidRDefault="0088685B" w:rsidP="00D52EB2">
            <w:pPr>
              <w:autoSpaceDE w:val="0"/>
              <w:autoSpaceDN w:val="0"/>
              <w:adjustRightInd w:val="0"/>
              <w:spacing w:after="0" w:line="240" w:lineRule="auto"/>
            </w:pPr>
          </w:p>
        </w:tc>
        <w:tc>
          <w:tcPr>
            <w:tcW w:w="1577" w:type="dxa"/>
          </w:tcPr>
          <w:p w:rsidR="0088685B" w:rsidRDefault="0088685B" w:rsidP="00D52EB2">
            <w:pPr>
              <w:autoSpaceDE w:val="0"/>
              <w:autoSpaceDN w:val="0"/>
              <w:adjustRightInd w:val="0"/>
              <w:spacing w:after="0" w:line="240" w:lineRule="auto"/>
              <w:rPr>
                <w:lang w:val="fr-FR"/>
              </w:rPr>
            </w:pPr>
            <w:r>
              <w:rPr>
                <w:lang w:val="fr-FR"/>
              </w:rPr>
              <w:lastRenderedPageBreak/>
              <w:t xml:space="preserve">Contacts : </w:t>
            </w:r>
            <w:r>
              <w:t>Tél.: + 32 (0) 61 21 50 21</w:t>
            </w:r>
          </w:p>
        </w:tc>
      </w:tr>
      <w:tr w:rsidR="0088685B" w:rsidRPr="00AE1C81" w:rsidTr="00D52EB2">
        <w:trPr>
          <w:trHeight w:val="2538"/>
        </w:trPr>
        <w:tc>
          <w:tcPr>
            <w:tcW w:w="2376" w:type="dxa"/>
          </w:tcPr>
          <w:p w:rsidR="0088685B" w:rsidRDefault="0088685B" w:rsidP="00D52EB2">
            <w:pPr>
              <w:autoSpaceDE w:val="0"/>
              <w:autoSpaceDN w:val="0"/>
              <w:adjustRightInd w:val="0"/>
              <w:spacing w:after="0" w:line="240" w:lineRule="auto"/>
              <w:rPr>
                <w:rFonts w:ascii="Calibri" w:hAnsi="Calibri" w:cs="Calibri"/>
                <w:bCs/>
                <w:color w:val="000000"/>
              </w:rPr>
            </w:pPr>
            <w:r>
              <w:rPr>
                <w:rFonts w:ascii="Calibri" w:hAnsi="Calibri" w:cs="Calibri"/>
                <w:b/>
                <w:bCs/>
                <w:color w:val="000000"/>
              </w:rPr>
              <w:t xml:space="preserve">En attendant la banquise </w:t>
            </w:r>
            <w:r>
              <w:rPr>
                <w:rFonts w:ascii="Calibri" w:hAnsi="Calibri" w:cs="Calibri"/>
                <w:bCs/>
                <w:color w:val="000000"/>
              </w:rPr>
              <w:t>de la Cie Théâtre sans accent</w:t>
            </w:r>
          </w:p>
          <w:p w:rsidR="0088685B" w:rsidRPr="00694BEF" w:rsidRDefault="0088685B" w:rsidP="00D52EB2">
            <w:pPr>
              <w:autoSpaceDE w:val="0"/>
              <w:autoSpaceDN w:val="0"/>
              <w:adjustRightInd w:val="0"/>
              <w:spacing w:after="0" w:line="240" w:lineRule="auto"/>
              <w:rPr>
                <w:rFonts w:ascii="Calibri" w:hAnsi="Calibri" w:cs="Calibri"/>
                <w:bCs/>
                <w:color w:val="000000"/>
              </w:rPr>
            </w:pPr>
            <w:r>
              <w:rPr>
                <w:rFonts w:ascii="Calibri" w:hAnsi="Calibri" w:cs="Calibri"/>
                <w:bCs/>
                <w:color w:val="000000"/>
              </w:rPr>
              <w:t>50 min.</w:t>
            </w:r>
          </w:p>
          <w:p w:rsidR="0088685B" w:rsidRDefault="0088685B" w:rsidP="00D52EB2">
            <w:pPr>
              <w:autoSpaceDE w:val="0"/>
              <w:autoSpaceDN w:val="0"/>
              <w:adjustRightInd w:val="0"/>
              <w:spacing w:after="0" w:line="240" w:lineRule="auto"/>
              <w:rPr>
                <w:rFonts w:ascii="Calibri" w:hAnsi="Calibri" w:cs="Calibri"/>
                <w:b/>
                <w:bCs/>
                <w:color w:val="000000"/>
              </w:rPr>
            </w:pPr>
          </w:p>
          <w:p w:rsidR="0088685B" w:rsidRPr="00694BEF" w:rsidRDefault="0088685B" w:rsidP="00D52EB2">
            <w:pPr>
              <w:autoSpaceDE w:val="0"/>
              <w:autoSpaceDN w:val="0"/>
              <w:adjustRightInd w:val="0"/>
              <w:spacing w:after="0" w:line="240" w:lineRule="auto"/>
              <w:rPr>
                <w:rFonts w:ascii="Calibri" w:hAnsi="Calibri" w:cs="Calibri"/>
                <w:bCs/>
                <w:color w:val="000000"/>
              </w:rPr>
            </w:pPr>
            <w:r w:rsidRPr="00694BEF">
              <w:rPr>
                <w:rFonts w:ascii="Calibri" w:hAnsi="Calibri" w:cs="Calibri"/>
                <w:bCs/>
                <w:color w:val="000000"/>
              </w:rPr>
              <w:t>Spectacle à partir de 8 ans, convient à un large public</w:t>
            </w:r>
          </w:p>
          <w:p w:rsidR="0088685B" w:rsidRPr="00694BEF" w:rsidRDefault="0088685B" w:rsidP="00D52EB2">
            <w:pPr>
              <w:autoSpaceDE w:val="0"/>
              <w:autoSpaceDN w:val="0"/>
              <w:adjustRightInd w:val="0"/>
              <w:spacing w:after="0" w:line="240" w:lineRule="auto"/>
              <w:rPr>
                <w:rFonts w:ascii="Calibri" w:hAnsi="Calibri" w:cs="Calibri"/>
                <w:bCs/>
                <w:color w:val="000000"/>
              </w:rPr>
            </w:pPr>
          </w:p>
          <w:p w:rsidR="0088685B" w:rsidRDefault="0088685B" w:rsidP="00D52EB2">
            <w:pPr>
              <w:autoSpaceDE w:val="0"/>
              <w:autoSpaceDN w:val="0"/>
              <w:adjustRightInd w:val="0"/>
              <w:spacing w:after="0" w:line="240" w:lineRule="auto"/>
              <w:rPr>
                <w:rFonts w:ascii="Calibri" w:hAnsi="Calibri" w:cs="Calibri"/>
                <w:b/>
                <w:bCs/>
                <w:color w:val="000000"/>
              </w:rPr>
            </w:pPr>
            <w:r w:rsidRPr="00694BEF">
              <w:rPr>
                <w:rFonts w:ascii="Calibri" w:hAnsi="Calibri" w:cs="Calibri"/>
                <w:b/>
                <w:bCs/>
                <w:color w:val="000000"/>
              </w:rPr>
              <w:t>Prix d’une représentation</w:t>
            </w:r>
            <w:r>
              <w:rPr>
                <w:rFonts w:ascii="Calibri" w:hAnsi="Calibri" w:cs="Calibri"/>
                <w:bCs/>
                <w:color w:val="000000"/>
              </w:rPr>
              <w:t xml:space="preserve"> </w:t>
            </w:r>
            <w:r w:rsidRPr="00694BEF">
              <w:rPr>
                <w:rFonts w:ascii="Calibri" w:hAnsi="Calibri" w:cs="Calibri"/>
                <w:bCs/>
                <w:color w:val="000000"/>
              </w:rPr>
              <w:t xml:space="preserve">: </w:t>
            </w:r>
            <w:r>
              <w:rPr>
                <w:rFonts w:ascii="Calibri" w:hAnsi="Calibri" w:cs="Calibri"/>
                <w:bCs/>
                <w:color w:val="000000"/>
              </w:rPr>
              <w:t>11</w:t>
            </w:r>
            <w:r w:rsidRPr="00694BEF">
              <w:rPr>
                <w:rFonts w:ascii="Calibri" w:hAnsi="Calibri" w:cs="Calibri"/>
                <w:bCs/>
                <w:color w:val="000000"/>
              </w:rPr>
              <w:t>00€ (</w:t>
            </w:r>
            <w:r>
              <w:rPr>
                <w:rFonts w:ascii="Calibri" w:hAnsi="Calibri" w:cs="Calibri"/>
                <w:bCs/>
                <w:color w:val="000000"/>
              </w:rPr>
              <w:t>6</w:t>
            </w:r>
            <w:r w:rsidRPr="00694BEF">
              <w:rPr>
                <w:rFonts w:ascii="Calibri" w:hAnsi="Calibri" w:cs="Calibri"/>
                <w:bCs/>
                <w:color w:val="000000"/>
              </w:rPr>
              <w:t>50 € avec le subside Arts et vie)</w:t>
            </w:r>
          </w:p>
        </w:tc>
        <w:tc>
          <w:tcPr>
            <w:tcW w:w="5524" w:type="dxa"/>
          </w:tcPr>
          <w:p w:rsidR="0088685B" w:rsidRDefault="0088685B" w:rsidP="00D52EB2">
            <w:pPr>
              <w:autoSpaceDE w:val="0"/>
              <w:autoSpaceDN w:val="0"/>
              <w:adjustRightInd w:val="0"/>
              <w:spacing w:after="0" w:line="240" w:lineRule="auto"/>
            </w:pPr>
            <w:r>
              <w:t xml:space="preserve">Ciboulette et Estragon se sont échoués sur la Banquise… Ils ont dû fuir leurs maisons, leurs familles, leurs amis.  Le petit bout de côte qu’ils habitaient en voisins a été englouti suite à la montée de eaux… Ils vont devoir apprendre à s’adapter à leur nouvelle vie, malgré toutes les différences qu’il y a entre eux, malgré le fait qu’ils se détestaient dans leur vie précédente… Une fable futuriste pour tous </w:t>
            </w:r>
            <w:r w:rsidRPr="004C1804">
              <w:rPr>
                <w:b/>
              </w:rPr>
              <w:t>à partir de 8 ans…</w:t>
            </w:r>
            <w:r>
              <w:br/>
              <w:t>Le spectacle ne se veut pas moralisateur ou porteur de message. Il veut provoquer chez son public un questionnement et une réflexion sur les pistes possibles face au dérèglement climatique et ses conséquences.</w:t>
            </w:r>
            <w:r>
              <w:br/>
              <w:t>Dans l’esprit d’une transition écologique globale.</w:t>
            </w:r>
            <w:r>
              <w:br/>
              <w:t>Dans un milieu pédagogique ou associatif, le spectacle peut se continuer sous formes d’une animation « workshop » ou d’un débat autour de ces possibilités de transition.</w:t>
            </w:r>
          </w:p>
          <w:p w:rsidR="0088685B" w:rsidRDefault="00A13FFC" w:rsidP="00D52EB2">
            <w:pPr>
              <w:autoSpaceDE w:val="0"/>
              <w:autoSpaceDN w:val="0"/>
              <w:adjustRightInd w:val="0"/>
              <w:spacing w:after="0" w:line="240" w:lineRule="auto"/>
            </w:pPr>
            <w:hyperlink r:id="rId22" w:history="1">
              <w:r w:rsidR="0088685B" w:rsidRPr="007407B7">
                <w:rPr>
                  <w:rStyle w:val="Lienhypertexte"/>
                </w:rPr>
                <w:t>https://www.theatre-action.be/spectacle/en-attendant-la-banquise/</w:t>
              </w:r>
            </w:hyperlink>
          </w:p>
        </w:tc>
        <w:tc>
          <w:tcPr>
            <w:tcW w:w="1577" w:type="dxa"/>
          </w:tcPr>
          <w:p w:rsidR="0088685B" w:rsidRDefault="0088685B" w:rsidP="00D52EB2">
            <w:pPr>
              <w:autoSpaceDE w:val="0"/>
              <w:autoSpaceDN w:val="0"/>
              <w:adjustRightInd w:val="0"/>
              <w:spacing w:after="0" w:line="240" w:lineRule="auto"/>
              <w:rPr>
                <w:lang w:val="fr-FR"/>
              </w:rPr>
            </w:pPr>
            <w:r>
              <w:rPr>
                <w:lang w:val="fr-FR"/>
              </w:rPr>
              <w:t xml:space="preserve">Spectacle pouvant bénéficier du subside Arts et Vie (code </w:t>
            </w:r>
            <w:r>
              <w:t>2035-25</w:t>
            </w:r>
            <w:r>
              <w:rPr>
                <w:lang w:val="fr-FR"/>
              </w:rPr>
              <w:t>)</w:t>
            </w:r>
          </w:p>
          <w:p w:rsidR="0088685B" w:rsidRDefault="00A13FFC" w:rsidP="00D52EB2">
            <w:pPr>
              <w:autoSpaceDE w:val="0"/>
              <w:autoSpaceDN w:val="0"/>
              <w:adjustRightInd w:val="0"/>
              <w:spacing w:after="0" w:line="240" w:lineRule="auto"/>
              <w:rPr>
                <w:lang w:val="fr-FR"/>
              </w:rPr>
            </w:pPr>
            <w:hyperlink r:id="rId23" w:history="1">
              <w:r w:rsidR="0088685B">
                <w:rPr>
                  <w:rStyle w:val="Lienhypertexte"/>
                  <w:lang w:val="fr-FR"/>
                </w:rPr>
                <w:t>http://www.creationartistique.cfwb.be/index.php?id=7194&amp;no_cache=1</w:t>
              </w:r>
            </w:hyperlink>
          </w:p>
        </w:tc>
      </w:tr>
    </w:tbl>
    <w:p w:rsidR="0088685B" w:rsidRDefault="0088685B" w:rsidP="0088685B">
      <w:pPr>
        <w:pStyle w:val="Paragraphedeliste"/>
        <w:rPr>
          <w:b/>
          <w:sz w:val="32"/>
          <w:szCs w:val="32"/>
        </w:rPr>
      </w:pPr>
    </w:p>
    <w:p w:rsidR="0088685B" w:rsidRPr="00DF2381" w:rsidRDefault="0088685B" w:rsidP="0088685B">
      <w:pPr>
        <w:pStyle w:val="Paragraphedeliste"/>
        <w:numPr>
          <w:ilvl w:val="0"/>
          <w:numId w:val="1"/>
        </w:numPr>
        <w:rPr>
          <w:b/>
          <w:sz w:val="32"/>
          <w:szCs w:val="32"/>
        </w:rPr>
      </w:pPr>
      <w:r w:rsidRPr="00DF2381">
        <w:rPr>
          <w:b/>
          <w:sz w:val="32"/>
          <w:szCs w:val="32"/>
        </w:rPr>
        <w:t>Conférence gesticulée :</w:t>
      </w:r>
    </w:p>
    <w:p w:rsidR="0088685B" w:rsidRDefault="0088685B" w:rsidP="0088685B">
      <w:r>
        <w:t>Une conférence gesticulée, c’est un hybride entre le théâtre et la conférence, où l’expérience se mêle à des auteurs de référence. Le spectacle est toujours suivi d’un débat et/ou d’un atelier d’approfondissement de quelques heures. Possibilité d’organiser ce type de spectacles dans des lieux plus petits qu’une salle de théâtre (salle de café, bibliothèque...).</w:t>
      </w:r>
    </w:p>
    <w:tbl>
      <w:tblPr>
        <w:tblStyle w:val="Grilledutableau"/>
        <w:tblW w:w="9351" w:type="dxa"/>
        <w:tblLayout w:type="fixed"/>
        <w:tblLook w:val="04A0" w:firstRow="1" w:lastRow="0" w:firstColumn="1" w:lastColumn="0" w:noHBand="0" w:noVBand="1"/>
      </w:tblPr>
      <w:tblGrid>
        <w:gridCol w:w="2100"/>
        <w:gridCol w:w="5550"/>
        <w:gridCol w:w="1701"/>
      </w:tblGrid>
      <w:tr w:rsidR="0088685B" w:rsidTr="00D52EB2">
        <w:tc>
          <w:tcPr>
            <w:tcW w:w="2100" w:type="dxa"/>
          </w:tcPr>
          <w:p w:rsidR="0088685B" w:rsidRPr="009B5B2D" w:rsidRDefault="0088685B" w:rsidP="00D52EB2">
            <w:pPr>
              <w:rPr>
                <w:lang w:val="es-CO"/>
              </w:rPr>
            </w:pPr>
            <w:r w:rsidRPr="009B5B2D">
              <w:rPr>
                <w:b/>
                <w:lang w:val="es-CO"/>
              </w:rPr>
              <w:t>Voyage en Abya Yala</w:t>
            </w:r>
            <w:r w:rsidRPr="009B5B2D">
              <w:rPr>
                <w:lang w:val="es-CO"/>
              </w:rPr>
              <w:t> de Sébastien Meyer</w:t>
            </w:r>
          </w:p>
          <w:p w:rsidR="0088685B" w:rsidRPr="009B5B2D" w:rsidRDefault="0088685B" w:rsidP="00D52EB2">
            <w:pPr>
              <w:rPr>
                <w:lang w:val="es-CO"/>
              </w:rPr>
            </w:pPr>
          </w:p>
          <w:p w:rsidR="0088685B" w:rsidRDefault="0088685B" w:rsidP="00D52EB2">
            <w:r>
              <w:t>1h20 suivi d’un débat avec le public. Compter 2h en tout.</w:t>
            </w:r>
          </w:p>
        </w:tc>
        <w:tc>
          <w:tcPr>
            <w:tcW w:w="5550" w:type="dxa"/>
          </w:tcPr>
          <w:p w:rsidR="0088685B" w:rsidRDefault="0088685B" w:rsidP="00D52EB2">
            <w:r>
              <w:t>Conférence gesticulée qui raconte le voyage de Sébastien Meyer, parti à la rencontre des sans-terre au Brésil, des Zapatistes au Mexique, et … de tant d’autres croisés en chemin! Abya Yala est à l’origine le nom donné au continent américain par les indigènes Kuna du Panama, avant l’arrivée des Européens. Depuis 1992, Abya Yala est le nom officiel adopté par les nations indigènes pour désigner ce continent.</w:t>
            </w:r>
          </w:p>
          <w:p w:rsidR="0088685B" w:rsidRDefault="0088685B" w:rsidP="00D52EB2"/>
          <w:p w:rsidR="0088685B" w:rsidRDefault="0088685B" w:rsidP="00D52EB2">
            <w:r>
              <w:lastRenderedPageBreak/>
              <w:t>Possibilité d’atelier pour approfondir des thématiques (bien vivir, extractivisme, souveraineté alimentaire, décolonisation...)</w:t>
            </w:r>
          </w:p>
        </w:tc>
        <w:tc>
          <w:tcPr>
            <w:tcW w:w="1701" w:type="dxa"/>
          </w:tcPr>
          <w:p w:rsidR="0088685B" w:rsidRDefault="00A13FFC" w:rsidP="00D52EB2">
            <w:pPr>
              <w:rPr>
                <w:rStyle w:val="Lienhypertexte"/>
              </w:rPr>
            </w:pPr>
            <w:hyperlink r:id="rId24" w:history="1">
              <w:r w:rsidR="0088685B" w:rsidRPr="00EF2AAE">
                <w:rPr>
                  <w:rStyle w:val="Lienhypertexte"/>
                </w:rPr>
                <w:t>http://www.voyagenficelle.net/</w:t>
              </w:r>
            </w:hyperlink>
          </w:p>
          <w:p w:rsidR="0088685B" w:rsidRDefault="0088685B" w:rsidP="00D52EB2">
            <w:pPr>
              <w:rPr>
                <w:rStyle w:val="Lienhypertexte"/>
              </w:rPr>
            </w:pPr>
          </w:p>
          <w:p w:rsidR="0088685B" w:rsidRDefault="0088685B" w:rsidP="00D52EB2">
            <w:r>
              <w:t>seb@voyagenficelle.net</w:t>
            </w:r>
          </w:p>
        </w:tc>
      </w:tr>
    </w:tbl>
    <w:p w:rsidR="0088685B" w:rsidRDefault="0088685B" w:rsidP="0088685B"/>
    <w:p w:rsidR="0088685B" w:rsidRDefault="0088685B" w:rsidP="0088685B">
      <w:pPr>
        <w:pStyle w:val="Paragraphedeliste"/>
      </w:pPr>
    </w:p>
    <w:p w:rsidR="0088685B" w:rsidRDefault="0088685B" w:rsidP="0088685B">
      <w:pPr>
        <w:pStyle w:val="Paragraphedeliste"/>
        <w:numPr>
          <w:ilvl w:val="0"/>
          <w:numId w:val="1"/>
        </w:numPr>
        <w:rPr>
          <w:b/>
          <w:sz w:val="32"/>
          <w:szCs w:val="32"/>
        </w:rPr>
      </w:pPr>
      <w:r w:rsidRPr="004053B8">
        <w:rPr>
          <w:b/>
          <w:sz w:val="32"/>
          <w:szCs w:val="32"/>
        </w:rPr>
        <w:t>Film</w:t>
      </w:r>
      <w:r>
        <w:rPr>
          <w:b/>
          <w:sz w:val="32"/>
          <w:szCs w:val="32"/>
        </w:rPr>
        <w:t>s</w:t>
      </w:r>
    </w:p>
    <w:p w:rsidR="0088685B" w:rsidRDefault="0088685B" w:rsidP="0088685B">
      <w:r>
        <w:t>Les cinémas peuvent à présent fonctionner selon quelques règles de distanciation. Voici un film qui permet à la fois de parler de la transition écologique et du commerce équitable.</w:t>
      </w:r>
    </w:p>
    <w:p w:rsidR="0088685B" w:rsidRPr="00FC51AF" w:rsidRDefault="0088685B" w:rsidP="0088685B">
      <w:r w:rsidRPr="001F19BD">
        <w:rPr>
          <w:b/>
        </w:rPr>
        <w:t xml:space="preserve">Chocolats de la paix, </w:t>
      </w:r>
      <w:r w:rsidRPr="00FC51AF">
        <w:t>de</w:t>
      </w:r>
      <w:r w:rsidRPr="001F19BD">
        <w:rPr>
          <w:b/>
        </w:rPr>
        <w:t xml:space="preserve"> </w:t>
      </w:r>
      <w:r w:rsidRPr="00FC51AF">
        <w:t>Gwen Burnyeat et Pablo Mejía Trujillo</w:t>
      </w:r>
      <w:r>
        <w:t xml:space="preserve"> (55’)</w:t>
      </w:r>
    </w:p>
    <w:p w:rsidR="0088685B" w:rsidRDefault="00A13FFC" w:rsidP="0088685B">
      <w:hyperlink r:id="rId25" w:history="1">
        <w:r w:rsidR="0088685B" w:rsidRPr="00EF2AAE">
          <w:rPr>
            <w:rStyle w:val="Lienhypertexte"/>
          </w:rPr>
          <w:t>https://festivalalimenterre.be/film/chocolat-de-la-paix/</w:t>
        </w:r>
      </w:hyperlink>
    </w:p>
    <w:p w:rsidR="0088685B" w:rsidRDefault="0088685B" w:rsidP="0088685B">
      <w:r>
        <w:t>Chocolat de la paix décrit les expériences de résistance vécues par la Communauté de la Paix de San José de Apartadó, un voyage à travers leurs processus de production de chocolat biologique. Le film permet également d’aborder le rôle du commerce équitable dans le soutien à des communautés en danger.</w:t>
      </w:r>
    </w:p>
    <w:p w:rsidR="0088685B" w:rsidRDefault="0088685B" w:rsidP="0088685B">
      <w:r>
        <w:t xml:space="preserve">De la graine au produit, le cacao est le fil narratif qui nous emmène à travers les récits de violence et de résilience de la Communauté et leur combat pour rester neutres face au conflit armé colombien. Ce film offre un panorama de l’espoir, preuve que malgré les grandes difficultés, il est possible de semer la paix à travers les relations humaines et économiques. Il nous invite à repenser notre relation avec l’alimentation, à valoriser les efforts de ceux qui la produisent et à établir des ponts entre les victimes du conflit armé et les autres secteurs de la société civile mondiale. </w:t>
      </w:r>
    </w:p>
    <w:p w:rsidR="0088685B" w:rsidRDefault="0088685B" w:rsidP="0088685B">
      <w:r>
        <w:t xml:space="preserve">Voir la bande annonce : </w:t>
      </w:r>
      <w:hyperlink r:id="rId26" w:history="1">
        <w:r w:rsidRPr="007407B7">
          <w:rPr>
            <w:rStyle w:val="Lienhypertexte"/>
          </w:rPr>
          <w:t>https://www.youtube.com/watch?v=a7o5mRykxV0</w:t>
        </w:r>
      </w:hyperlink>
    </w:p>
    <w:p w:rsidR="0088685B" w:rsidRPr="00405416" w:rsidRDefault="0088685B" w:rsidP="0088685B">
      <w:pPr>
        <w:rPr>
          <w:b/>
        </w:rPr>
      </w:pPr>
      <w:r w:rsidRPr="00405416">
        <w:rPr>
          <w:b/>
        </w:rPr>
        <w:t>Coût de location du film : 150€ selon le nombre de spectateurs.</w:t>
      </w:r>
    </w:p>
    <w:p w:rsidR="0088685B" w:rsidRDefault="0088685B" w:rsidP="0088685B">
      <w:pPr>
        <w:rPr>
          <w:rFonts w:ascii="Calibri" w:hAnsi="Calibri"/>
        </w:rPr>
      </w:pPr>
      <w:r>
        <w:t xml:space="preserve">Voir les conditions pour organiser une projection publique du film : </w:t>
      </w:r>
      <w:hyperlink r:id="rId27" w:history="1">
        <w:r>
          <w:rPr>
            <w:rStyle w:val="Lienhypertexte"/>
            <w:rFonts w:ascii="Calibri" w:hAnsi="Calibri"/>
          </w:rPr>
          <w:t>https://festivalalimenterre.be/kits-de-projection/</w:t>
        </w:r>
      </w:hyperlink>
      <w:r>
        <w:rPr>
          <w:rFonts w:ascii="Calibri" w:hAnsi="Calibri"/>
        </w:rPr>
        <w:t xml:space="preserve"> </w:t>
      </w:r>
    </w:p>
    <w:p w:rsidR="0088685B" w:rsidRDefault="0088685B" w:rsidP="0088685B">
      <w:pPr>
        <w:rPr>
          <w:rFonts w:ascii="Calibri" w:hAnsi="Calibri"/>
        </w:rPr>
      </w:pPr>
      <w:r>
        <w:rPr>
          <w:rFonts w:ascii="Calibri" w:hAnsi="Calibri"/>
        </w:rPr>
        <w:t>D’autres films peuvent être intéressants, n’hésitez pas à nous contacter si vous souhaitez obtenir d’autres pistes.</w:t>
      </w:r>
    </w:p>
    <w:p w:rsidR="00111D42" w:rsidRDefault="00111D42"/>
    <w:sectPr w:rsidR="00111D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saPro-Ita">
    <w:panose1 w:val="00000000000000000000"/>
    <w:charset w:val="00"/>
    <w:family w:val="roman"/>
    <w:notTrueType/>
    <w:pitch w:val="default"/>
    <w:sig w:usb0="00000003" w:usb1="00000000" w:usb2="00000000" w:usb3="00000000" w:csb0="00000001" w:csb1="00000000"/>
  </w:font>
  <w:font w:name="OxfamTSTARPRO-Regular">
    <w:altName w:val="Franklin Gothic Demi Cond"/>
    <w:panose1 w:val="020008060300000200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166A0"/>
    <w:multiLevelType w:val="hybridMultilevel"/>
    <w:tmpl w:val="9BC8D83E"/>
    <w:lvl w:ilvl="0" w:tplc="84227226">
      <w:start w:val="1"/>
      <w:numFmt w:val="bullet"/>
      <w:lvlText w:val="•"/>
      <w:lvlJc w:val="left"/>
      <w:pPr>
        <w:tabs>
          <w:tab w:val="num" w:pos="720"/>
        </w:tabs>
        <w:ind w:left="720" w:hanging="360"/>
      </w:pPr>
      <w:rPr>
        <w:rFonts w:ascii="Arial" w:hAnsi="Arial" w:hint="default"/>
      </w:rPr>
    </w:lvl>
    <w:lvl w:ilvl="1" w:tplc="AD5420BA" w:tentative="1">
      <w:start w:val="1"/>
      <w:numFmt w:val="bullet"/>
      <w:lvlText w:val="•"/>
      <w:lvlJc w:val="left"/>
      <w:pPr>
        <w:tabs>
          <w:tab w:val="num" w:pos="1440"/>
        </w:tabs>
        <w:ind w:left="1440" w:hanging="360"/>
      </w:pPr>
      <w:rPr>
        <w:rFonts w:ascii="Arial" w:hAnsi="Arial" w:hint="default"/>
      </w:rPr>
    </w:lvl>
    <w:lvl w:ilvl="2" w:tplc="0BB0B712" w:tentative="1">
      <w:start w:val="1"/>
      <w:numFmt w:val="bullet"/>
      <w:lvlText w:val="•"/>
      <w:lvlJc w:val="left"/>
      <w:pPr>
        <w:tabs>
          <w:tab w:val="num" w:pos="2160"/>
        </w:tabs>
        <w:ind w:left="2160" w:hanging="360"/>
      </w:pPr>
      <w:rPr>
        <w:rFonts w:ascii="Arial" w:hAnsi="Arial" w:hint="default"/>
      </w:rPr>
    </w:lvl>
    <w:lvl w:ilvl="3" w:tplc="C4966A90" w:tentative="1">
      <w:start w:val="1"/>
      <w:numFmt w:val="bullet"/>
      <w:lvlText w:val="•"/>
      <w:lvlJc w:val="left"/>
      <w:pPr>
        <w:tabs>
          <w:tab w:val="num" w:pos="2880"/>
        </w:tabs>
        <w:ind w:left="2880" w:hanging="360"/>
      </w:pPr>
      <w:rPr>
        <w:rFonts w:ascii="Arial" w:hAnsi="Arial" w:hint="default"/>
      </w:rPr>
    </w:lvl>
    <w:lvl w:ilvl="4" w:tplc="A0AA1110" w:tentative="1">
      <w:start w:val="1"/>
      <w:numFmt w:val="bullet"/>
      <w:lvlText w:val="•"/>
      <w:lvlJc w:val="left"/>
      <w:pPr>
        <w:tabs>
          <w:tab w:val="num" w:pos="3600"/>
        </w:tabs>
        <w:ind w:left="3600" w:hanging="360"/>
      </w:pPr>
      <w:rPr>
        <w:rFonts w:ascii="Arial" w:hAnsi="Arial" w:hint="default"/>
      </w:rPr>
    </w:lvl>
    <w:lvl w:ilvl="5" w:tplc="D376FCA0" w:tentative="1">
      <w:start w:val="1"/>
      <w:numFmt w:val="bullet"/>
      <w:lvlText w:val="•"/>
      <w:lvlJc w:val="left"/>
      <w:pPr>
        <w:tabs>
          <w:tab w:val="num" w:pos="4320"/>
        </w:tabs>
        <w:ind w:left="4320" w:hanging="360"/>
      </w:pPr>
      <w:rPr>
        <w:rFonts w:ascii="Arial" w:hAnsi="Arial" w:hint="default"/>
      </w:rPr>
    </w:lvl>
    <w:lvl w:ilvl="6" w:tplc="4AE806A2" w:tentative="1">
      <w:start w:val="1"/>
      <w:numFmt w:val="bullet"/>
      <w:lvlText w:val="•"/>
      <w:lvlJc w:val="left"/>
      <w:pPr>
        <w:tabs>
          <w:tab w:val="num" w:pos="5040"/>
        </w:tabs>
        <w:ind w:left="5040" w:hanging="360"/>
      </w:pPr>
      <w:rPr>
        <w:rFonts w:ascii="Arial" w:hAnsi="Arial" w:hint="default"/>
      </w:rPr>
    </w:lvl>
    <w:lvl w:ilvl="7" w:tplc="CC5C75F0" w:tentative="1">
      <w:start w:val="1"/>
      <w:numFmt w:val="bullet"/>
      <w:lvlText w:val="•"/>
      <w:lvlJc w:val="left"/>
      <w:pPr>
        <w:tabs>
          <w:tab w:val="num" w:pos="5760"/>
        </w:tabs>
        <w:ind w:left="5760" w:hanging="360"/>
      </w:pPr>
      <w:rPr>
        <w:rFonts w:ascii="Arial" w:hAnsi="Arial" w:hint="default"/>
      </w:rPr>
    </w:lvl>
    <w:lvl w:ilvl="8" w:tplc="15B2B8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B40C4B"/>
    <w:multiLevelType w:val="hybridMultilevel"/>
    <w:tmpl w:val="B3CC2D12"/>
    <w:lvl w:ilvl="0" w:tplc="C168398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B1E32F4"/>
    <w:multiLevelType w:val="hybridMultilevel"/>
    <w:tmpl w:val="FFF2A008"/>
    <w:lvl w:ilvl="0" w:tplc="E84C73AE">
      <w:start w:val="1"/>
      <w:numFmt w:val="bullet"/>
      <w:lvlText w:val="•"/>
      <w:lvlJc w:val="left"/>
      <w:pPr>
        <w:tabs>
          <w:tab w:val="num" w:pos="720"/>
        </w:tabs>
        <w:ind w:left="720" w:hanging="360"/>
      </w:pPr>
      <w:rPr>
        <w:rFonts w:ascii="Arial" w:hAnsi="Arial" w:hint="default"/>
      </w:rPr>
    </w:lvl>
    <w:lvl w:ilvl="1" w:tplc="529EE70E" w:tentative="1">
      <w:start w:val="1"/>
      <w:numFmt w:val="bullet"/>
      <w:lvlText w:val="•"/>
      <w:lvlJc w:val="left"/>
      <w:pPr>
        <w:tabs>
          <w:tab w:val="num" w:pos="1440"/>
        </w:tabs>
        <w:ind w:left="1440" w:hanging="360"/>
      </w:pPr>
      <w:rPr>
        <w:rFonts w:ascii="Arial" w:hAnsi="Arial" w:hint="default"/>
      </w:rPr>
    </w:lvl>
    <w:lvl w:ilvl="2" w:tplc="C3F2D5D6" w:tentative="1">
      <w:start w:val="1"/>
      <w:numFmt w:val="bullet"/>
      <w:lvlText w:val="•"/>
      <w:lvlJc w:val="left"/>
      <w:pPr>
        <w:tabs>
          <w:tab w:val="num" w:pos="2160"/>
        </w:tabs>
        <w:ind w:left="2160" w:hanging="360"/>
      </w:pPr>
      <w:rPr>
        <w:rFonts w:ascii="Arial" w:hAnsi="Arial" w:hint="default"/>
      </w:rPr>
    </w:lvl>
    <w:lvl w:ilvl="3" w:tplc="EDDE1362" w:tentative="1">
      <w:start w:val="1"/>
      <w:numFmt w:val="bullet"/>
      <w:lvlText w:val="•"/>
      <w:lvlJc w:val="left"/>
      <w:pPr>
        <w:tabs>
          <w:tab w:val="num" w:pos="2880"/>
        </w:tabs>
        <w:ind w:left="2880" w:hanging="360"/>
      </w:pPr>
      <w:rPr>
        <w:rFonts w:ascii="Arial" w:hAnsi="Arial" w:hint="default"/>
      </w:rPr>
    </w:lvl>
    <w:lvl w:ilvl="4" w:tplc="EF121BE2" w:tentative="1">
      <w:start w:val="1"/>
      <w:numFmt w:val="bullet"/>
      <w:lvlText w:val="•"/>
      <w:lvlJc w:val="left"/>
      <w:pPr>
        <w:tabs>
          <w:tab w:val="num" w:pos="3600"/>
        </w:tabs>
        <w:ind w:left="3600" w:hanging="360"/>
      </w:pPr>
      <w:rPr>
        <w:rFonts w:ascii="Arial" w:hAnsi="Arial" w:hint="default"/>
      </w:rPr>
    </w:lvl>
    <w:lvl w:ilvl="5" w:tplc="F9C825BA" w:tentative="1">
      <w:start w:val="1"/>
      <w:numFmt w:val="bullet"/>
      <w:lvlText w:val="•"/>
      <w:lvlJc w:val="left"/>
      <w:pPr>
        <w:tabs>
          <w:tab w:val="num" w:pos="4320"/>
        </w:tabs>
        <w:ind w:left="4320" w:hanging="360"/>
      </w:pPr>
      <w:rPr>
        <w:rFonts w:ascii="Arial" w:hAnsi="Arial" w:hint="default"/>
      </w:rPr>
    </w:lvl>
    <w:lvl w:ilvl="6" w:tplc="B1D4C396" w:tentative="1">
      <w:start w:val="1"/>
      <w:numFmt w:val="bullet"/>
      <w:lvlText w:val="•"/>
      <w:lvlJc w:val="left"/>
      <w:pPr>
        <w:tabs>
          <w:tab w:val="num" w:pos="5040"/>
        </w:tabs>
        <w:ind w:left="5040" w:hanging="360"/>
      </w:pPr>
      <w:rPr>
        <w:rFonts w:ascii="Arial" w:hAnsi="Arial" w:hint="default"/>
      </w:rPr>
    </w:lvl>
    <w:lvl w:ilvl="7" w:tplc="CF7C7080" w:tentative="1">
      <w:start w:val="1"/>
      <w:numFmt w:val="bullet"/>
      <w:lvlText w:val="•"/>
      <w:lvlJc w:val="left"/>
      <w:pPr>
        <w:tabs>
          <w:tab w:val="num" w:pos="5760"/>
        </w:tabs>
        <w:ind w:left="5760" w:hanging="360"/>
      </w:pPr>
      <w:rPr>
        <w:rFonts w:ascii="Arial" w:hAnsi="Arial" w:hint="default"/>
      </w:rPr>
    </w:lvl>
    <w:lvl w:ilvl="8" w:tplc="48E282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3D3453E"/>
    <w:multiLevelType w:val="hybridMultilevel"/>
    <w:tmpl w:val="2ABE08F8"/>
    <w:lvl w:ilvl="0" w:tplc="9E5EE83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64B5BDE"/>
    <w:multiLevelType w:val="hybridMultilevel"/>
    <w:tmpl w:val="D194903C"/>
    <w:lvl w:ilvl="0" w:tplc="AC1417B4">
      <w:start w:val="4"/>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5FE648AB"/>
    <w:multiLevelType w:val="hybridMultilevel"/>
    <w:tmpl w:val="17E650F4"/>
    <w:lvl w:ilvl="0" w:tplc="15C0E67A">
      <w:start w:val="1"/>
      <w:numFmt w:val="bullet"/>
      <w:lvlText w:val=""/>
      <w:lvlJc w:val="left"/>
      <w:pPr>
        <w:tabs>
          <w:tab w:val="num" w:pos="360"/>
        </w:tabs>
        <w:ind w:left="360" w:hanging="360"/>
      </w:pPr>
      <w:rPr>
        <w:rFonts w:ascii="Wingdings" w:hAnsi="Wingdings" w:hint="default"/>
      </w:rPr>
    </w:lvl>
    <w:lvl w:ilvl="1" w:tplc="5D4EF396" w:tentative="1">
      <w:start w:val="1"/>
      <w:numFmt w:val="bullet"/>
      <w:lvlText w:val=""/>
      <w:lvlJc w:val="left"/>
      <w:pPr>
        <w:tabs>
          <w:tab w:val="num" w:pos="1080"/>
        </w:tabs>
        <w:ind w:left="1080" w:hanging="360"/>
      </w:pPr>
      <w:rPr>
        <w:rFonts w:ascii="Wingdings" w:hAnsi="Wingdings" w:hint="default"/>
      </w:rPr>
    </w:lvl>
    <w:lvl w:ilvl="2" w:tplc="858E202C" w:tentative="1">
      <w:start w:val="1"/>
      <w:numFmt w:val="bullet"/>
      <w:lvlText w:val=""/>
      <w:lvlJc w:val="left"/>
      <w:pPr>
        <w:tabs>
          <w:tab w:val="num" w:pos="1800"/>
        </w:tabs>
        <w:ind w:left="1800" w:hanging="360"/>
      </w:pPr>
      <w:rPr>
        <w:rFonts w:ascii="Wingdings" w:hAnsi="Wingdings" w:hint="default"/>
      </w:rPr>
    </w:lvl>
    <w:lvl w:ilvl="3" w:tplc="AEDEFF54" w:tentative="1">
      <w:start w:val="1"/>
      <w:numFmt w:val="bullet"/>
      <w:lvlText w:val=""/>
      <w:lvlJc w:val="left"/>
      <w:pPr>
        <w:tabs>
          <w:tab w:val="num" w:pos="2520"/>
        </w:tabs>
        <w:ind w:left="2520" w:hanging="360"/>
      </w:pPr>
      <w:rPr>
        <w:rFonts w:ascii="Wingdings" w:hAnsi="Wingdings" w:hint="default"/>
      </w:rPr>
    </w:lvl>
    <w:lvl w:ilvl="4" w:tplc="E3FCF1D8" w:tentative="1">
      <w:start w:val="1"/>
      <w:numFmt w:val="bullet"/>
      <w:lvlText w:val=""/>
      <w:lvlJc w:val="left"/>
      <w:pPr>
        <w:tabs>
          <w:tab w:val="num" w:pos="3240"/>
        </w:tabs>
        <w:ind w:left="3240" w:hanging="360"/>
      </w:pPr>
      <w:rPr>
        <w:rFonts w:ascii="Wingdings" w:hAnsi="Wingdings" w:hint="default"/>
      </w:rPr>
    </w:lvl>
    <w:lvl w:ilvl="5" w:tplc="8B885EFE" w:tentative="1">
      <w:start w:val="1"/>
      <w:numFmt w:val="bullet"/>
      <w:lvlText w:val=""/>
      <w:lvlJc w:val="left"/>
      <w:pPr>
        <w:tabs>
          <w:tab w:val="num" w:pos="3960"/>
        </w:tabs>
        <w:ind w:left="3960" w:hanging="360"/>
      </w:pPr>
      <w:rPr>
        <w:rFonts w:ascii="Wingdings" w:hAnsi="Wingdings" w:hint="default"/>
      </w:rPr>
    </w:lvl>
    <w:lvl w:ilvl="6" w:tplc="D0B8AB1A" w:tentative="1">
      <w:start w:val="1"/>
      <w:numFmt w:val="bullet"/>
      <w:lvlText w:val=""/>
      <w:lvlJc w:val="left"/>
      <w:pPr>
        <w:tabs>
          <w:tab w:val="num" w:pos="4680"/>
        </w:tabs>
        <w:ind w:left="4680" w:hanging="360"/>
      </w:pPr>
      <w:rPr>
        <w:rFonts w:ascii="Wingdings" w:hAnsi="Wingdings" w:hint="default"/>
      </w:rPr>
    </w:lvl>
    <w:lvl w:ilvl="7" w:tplc="970C3AB0" w:tentative="1">
      <w:start w:val="1"/>
      <w:numFmt w:val="bullet"/>
      <w:lvlText w:val=""/>
      <w:lvlJc w:val="left"/>
      <w:pPr>
        <w:tabs>
          <w:tab w:val="num" w:pos="5400"/>
        </w:tabs>
        <w:ind w:left="5400" w:hanging="360"/>
      </w:pPr>
      <w:rPr>
        <w:rFonts w:ascii="Wingdings" w:hAnsi="Wingdings" w:hint="default"/>
      </w:rPr>
    </w:lvl>
    <w:lvl w:ilvl="8" w:tplc="D688B688"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5B"/>
    <w:rsid w:val="00111D42"/>
    <w:rsid w:val="002E7E8B"/>
    <w:rsid w:val="00413B9A"/>
    <w:rsid w:val="0088685B"/>
    <w:rsid w:val="00A13FF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CDE3"/>
  <w15:chartTrackingRefBased/>
  <w15:docId w15:val="{4491F6DA-4D1A-4DFB-8785-1A945E5E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8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685B"/>
    <w:pPr>
      <w:ind w:left="720"/>
      <w:contextualSpacing/>
    </w:pPr>
  </w:style>
  <w:style w:type="character" w:styleId="Lienhypertexte">
    <w:name w:val="Hyperlink"/>
    <w:basedOn w:val="Policepardfaut"/>
    <w:uiPriority w:val="99"/>
    <w:unhideWhenUsed/>
    <w:rsid w:val="0088685B"/>
    <w:rPr>
      <w:color w:val="0563C1" w:themeColor="hyperlink"/>
      <w:u w:val="single"/>
    </w:rPr>
  </w:style>
  <w:style w:type="table" w:styleId="Grilledutableau">
    <w:name w:val="Table Grid"/>
    <w:basedOn w:val="TableauNormal"/>
    <w:uiPriority w:val="39"/>
    <w:rsid w:val="00886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belle.delonnette@mdmoxfam.be" TargetMode="External"/><Relationship Id="rId13" Type="http://schemas.openxmlformats.org/officeDocument/2006/relationships/image" Target="media/image6.png"/><Relationship Id="rId18" Type="http://schemas.openxmlformats.org/officeDocument/2006/relationships/hyperlink" Target="mailto:" TargetMode="External"/><Relationship Id="rId26" Type="http://schemas.openxmlformats.org/officeDocument/2006/relationships/hyperlink" Target="https://www.youtube.com/watch?v=a7o5mRykxV0" TargetMode="External"/><Relationship Id="rId3" Type="http://schemas.openxmlformats.org/officeDocument/2006/relationships/styles" Target="styles.xml"/><Relationship Id="rId21" Type="http://schemas.openxmlformats.org/officeDocument/2006/relationships/hyperlink" Target="http://www.creationartistique.cfwb.be/index.php?id=8143" TargetMode="External"/><Relationship Id="rId7" Type="http://schemas.openxmlformats.org/officeDocument/2006/relationships/hyperlink" Target="http://www.omdm.be/donut" TargetMode="External"/><Relationship Id="rId12" Type="http://schemas.openxmlformats.org/officeDocument/2006/relationships/image" Target="media/image5.png"/><Relationship Id="rId17" Type="http://schemas.openxmlformats.org/officeDocument/2006/relationships/hyperlink" Target="http://www.outilsoxfam.be" TargetMode="External"/><Relationship Id="rId25" Type="http://schemas.openxmlformats.org/officeDocument/2006/relationships/hyperlink" Target="https://festivalalimenterre.be/film/chocolat-de-la-paix/" TargetMode="External"/><Relationship Id="rId2" Type="http://schemas.openxmlformats.org/officeDocument/2006/relationships/numbering" Target="numbering.xml"/><Relationship Id="rId16" Type="http://schemas.openxmlformats.org/officeDocument/2006/relationships/hyperlink" Target="https://www.youtube.com/watch?v=y2xhT0wfA84" TargetMode="External"/><Relationship Id="rId20" Type="http://schemas.openxmlformats.org/officeDocument/2006/relationships/hyperlink" Target="https://padlet.com/anabelledelonnette/OMDM_Jeudeflechett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www.voyagenficelle.net/" TargetMode="External"/><Relationship Id="rId5" Type="http://schemas.openxmlformats.org/officeDocument/2006/relationships/webSettings" Target="webSettings.xml"/><Relationship Id="rId15" Type="http://schemas.openxmlformats.org/officeDocument/2006/relationships/hyperlink" Target="http://www.oxfammagasinsdumonde.be/donut/" TargetMode="External"/><Relationship Id="rId23" Type="http://schemas.openxmlformats.org/officeDocument/2006/relationships/hyperlink" Target="http://www.creationartistique.cfwb.be/index.php?id=7194&amp;no_cache=1"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utilsoxfam.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xfammagasinsdumonde.be/blog/etude/transition-ecologique-et-inegalites-mondiales-pour-une-approche-solidaire-et-equitable-face-aux-enjeux-sociaux-et-climatiques/" TargetMode="External"/><Relationship Id="rId22" Type="http://schemas.openxmlformats.org/officeDocument/2006/relationships/hyperlink" Target="https://www.theatre-action.be/spectacle/en-attendant-la-banquise/" TargetMode="External"/><Relationship Id="rId27" Type="http://schemas.openxmlformats.org/officeDocument/2006/relationships/hyperlink" Target="https://festivalalimenterre.be/kits-de-projec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0C098-26E9-4B28-83A7-D721057FF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1981</Words>
  <Characters>10899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D'Hoop</dc:creator>
  <cp:keywords/>
  <dc:description/>
  <cp:lastModifiedBy>Sandrine Debroux</cp:lastModifiedBy>
  <cp:revision>4</cp:revision>
  <dcterms:created xsi:type="dcterms:W3CDTF">2020-09-10T15:18:00Z</dcterms:created>
  <dcterms:modified xsi:type="dcterms:W3CDTF">2020-09-11T09:06:00Z</dcterms:modified>
</cp:coreProperties>
</file>